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99" w:rsidRDefault="00BF3599" w:rsidP="00BF3599">
      <w:pPr>
        <w:pStyle w:val="berschrift3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4ABE69" wp14:editId="2877825C">
                <wp:simplePos x="0" y="0"/>
                <wp:positionH relativeFrom="column">
                  <wp:posOffset>4737735</wp:posOffset>
                </wp:positionH>
                <wp:positionV relativeFrom="paragraph">
                  <wp:posOffset>5080</wp:posOffset>
                </wp:positionV>
                <wp:extent cx="1990725" cy="695619"/>
                <wp:effectExtent l="0" t="0" r="9525" b="952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695619"/>
                          <a:chOff x="0" y="0"/>
                          <a:chExt cx="1990725" cy="771230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1990725" cy="7712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57150"/>
                            <a:ext cx="1990725" cy="714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PERIODO PROMOCIONAL</w:t>
                              </w:r>
                            </w:p>
                            <w:p w:rsidR="00BF3599" w:rsidRPr="00BF3599" w:rsidRDefault="00BF3599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color w:val="001941" w:themeColor="text2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</w:pPr>
                              <w:r>
                                <w:rPr>
                                  <w:color w:val="001941" w:themeColor="text2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AMPLIADO</w:t>
                              </w:r>
                            </w:p>
                            <w:p w:rsidR="003F732F" w:rsidRPr="003F732F" w:rsidRDefault="00BF3599" w:rsidP="003F732F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  <w:rFonts w:ascii="HelveticaNeueLTW1G-Blk" w:hAnsi="HelveticaNeueLTW1G-Blk" w:cs="HelveticaNeueLTW1G-Blk"/>
                                </w:rPr>
                                <w:t xml:space="preserve">HASTA EL 31/05/2019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margin-left:373.05pt;margin-top:.4pt;width:156.75pt;height:54.75pt;z-index:251660288;mso-height-relative:margin" coordsize="1990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">
                <v:rect id="Rechteck 2" o:spid="_x0000_s1027" style="position:absolute;width:19907;height:7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9268IA&#10;AADaAAAADwAAAGRycy9kb3ducmV2LnhtbESPQWsCMRSE7wX/Q3iCt5pVUMpqFBUUj9ZKqbfH5rlZ&#10;3LyETdZd++ubQqHHYWa+YZbr3tbiQU2oHCuYjDMQxIXTFZcKLh/71zcQISJrrB2TgicFWK8GL0vM&#10;tev4nR7nWIoE4ZCjAhOjz6UMhSGLYew8cfJurrEYk2xKqRvsEtzWcpplc2mx4rRg0NPOUHE/t1aB&#10;P1xO15vZ+m7+/Jwd+rL9+q5apUbDfrMAEamP/+G/9lErmMLvlXQ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3brwgAAANoAAAAPAAAAAAAAAAAAAAAAAJgCAABkcnMvZG93&#10;bnJldi54bWxQSwUGAAAAAAQABAD1AAAAhwMAAAAA&#10;" fillcolor="#00a0dc [3204]" stroked="f" strokeweight="2pt">
                  <v:textbox>
                    <w:txbxContent>
                      <w:p w:rsidR="003F732F" w:rsidRDefault="003F732F" w:rsidP="003F732F">
                        <w:pPr>
                          <w:jc w:val="both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top:571;width:19907;height:7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3F732F" w:rsidRDefault="003F732F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PERIODO PROMOCIONAL</w:t>
                        </w:r>
                      </w:p>
                      <w:p w:rsidR="00BF3599" w:rsidRPr="00BF3599" w:rsidRDefault="00BF3599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color w:val="001941" w:themeColor="text2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</w:pPr>
                        <w:r>
                          <w:rPr>
                            <w:color w:val="001941" w:themeColor="text2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AMPLIADO</w:t>
                        </w:r>
                      </w:p>
                      <w:p w:rsidR="003F732F" w:rsidRPr="003F732F" w:rsidRDefault="00BF3599" w:rsidP="003F732F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rFonts w:ascii="HelveticaNeueLTW1G-Blk" w:hAnsi="HelveticaNeueLTW1G-Blk" w:cs="HelveticaNeueLTW1G-Blk"/>
                          </w:rPr>
                          <w:t xml:space="preserve">HASTA EL 31/05/2019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Ampliación de la promoción hasta el 31/05/2019</w:t>
      </w:r>
    </w:p>
    <w:p w:rsidR="00BF3599" w:rsidRDefault="00BF3599" w:rsidP="00BF3599">
      <w:pPr>
        <w:pStyle w:val="berschrift1"/>
      </w:pPr>
      <w:r>
        <w:t xml:space="preserve">EDITION 25: más futuro, más tecnología</w:t>
        <w:br/>
        <w:t xml:space="preserve">y servicio completo también en 2019</w:t>
      </w:r>
    </w:p>
    <w:p w:rsidR="00BF3599" w:rsidRPr="00BF3599" w:rsidRDefault="00BF3599" w:rsidP="00BF3599">
      <w:pPr>
        <w:rPr>
          <w:b/>
        </w:rPr>
      </w:pPr>
      <w:r>
        <w:rPr>
          <w:b/>
        </w:rPr>
        <w:t xml:space="preserve">HOMAG amplía la promoción hasta final de mayo de 2019 debido a la gran demanda. El catálogo de máquinas de la Edition25 continúa siendo el mismo: soluciones de automatización, sierras seccionadoras de tableros, máquinas de mecanizado de CNC, cantos y superficies, máquinas de ensamblaje y, por supuesto, su software correspondiente.</w:t>
      </w:r>
      <w:r>
        <w:rPr>
          <w:b/>
        </w:rPr>
        <w:t xml:space="preserve"> </w:t>
      </w:r>
    </w:p>
    <w:p w:rsidR="00AF25EE" w:rsidRDefault="008A5438" w:rsidP="00AF25EE">
      <w:r>
        <w:t xml:space="preserve">HOMAG ha tenido mucho que celebrar este año: para el 25 aniversario de HOMAG Treff, HOMAG dio las gracias a los clientes y los clientes potenciales de todo el mundo con un catálogo de más de 25 máquinas, las cuales convencen por su precio, equipamiento y servicio. HOMAG diseñó los modelos promocionales según las exigencias actuales de los clientes: más digitalizados, con más potencia, más servicio y productos digitales para disfrutar de un comienzo más sencillo en una producción aún más moderna. Otra ventaja: se pueden producir y enviar muchos productos en poco tiempo, y el usuario puede comenzar antes la fabricación con la nueva máquina. Todos los modelos disponen de grandes prestaciones, precios competitivos y un atractivo paquete de digitalización y servicio en comparación con las máquinas estándar. ¿Y qué significa esto?</w:t>
      </w:r>
    </w:p>
    <w:p w:rsidR="00FD53A5" w:rsidRDefault="00FD53A5" w:rsidP="00AF25EE"/>
    <w:p w:rsidR="00580635" w:rsidRDefault="0075114F" w:rsidP="00580635">
      <w:r>
        <w:rPr>
          <w:b/>
        </w:rPr>
        <w:t xml:space="preserve">Mayor digitalización:</w:t>
      </w:r>
      <w:r>
        <w:t xml:space="preserve"> todos los modelos Edition25 están completamente digitalizados y son compatibles con tapio. Todos los modelos incluyen aplicaciones muy prácticas: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"MachineBoard"*: datos y estado de la máquina en tiempo real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"ServiceBoard"</w:t>
      </w:r>
      <w:r>
        <w:rPr>
          <w:b/>
          <w:bCs/>
          <w:rFonts w:ascii="Arial-BoldMT" w:hAnsi="Arial-BoldMT" w:cs="Arial-BoldMT"/>
        </w:rPr>
        <w:t xml:space="preserve">*</w:t>
      </w:r>
      <w:r>
        <w:t xml:space="preserve">: diagnóstico por vídeo sin cables y en tiempo real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"DataSave"*: copia de seguridad automática de los datos de la máquina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 xml:space="preserve">MMR professional: monitorización para optimizar la producción</w:t>
      </w:r>
    </w:p>
    <w:p w:rsidR="003F1F11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 xml:space="preserve">*Actualmente disponible en la UE y Suiza.</w:t>
      </w:r>
    </w:p>
    <w:p w:rsidR="00580635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 xml:space="preserve">(Dada la rapidez con la que evoluciona el sector de TI, le garantizamos la compatibilidad con la plataforma tapio durante 5 años)</w:t>
      </w:r>
    </w:p>
    <w:p w:rsidR="00783449" w:rsidRPr="00C51E9E" w:rsidRDefault="00783449" w:rsidP="00580635">
      <w:r>
        <w:t xml:space="preserve">De esta forma, el usuario utiliza la potencia de procesamiento casi sin límites que ofrecen las soluciones de software basadas en la nube para aumentar la disponibilidad de la máquina.</w:t>
      </w:r>
    </w:p>
    <w:p w:rsidR="00FD53A5" w:rsidRPr="00C51E9E" w:rsidRDefault="00FD53A5" w:rsidP="00580635"/>
    <w:p w:rsidR="00783449" w:rsidRPr="00C51E9E" w:rsidRDefault="0075114F" w:rsidP="00580635">
      <w:r>
        <w:rPr>
          <w:b/>
        </w:rPr>
        <w:t xml:space="preserve">Más potencia:</w:t>
      </w:r>
      <w:r>
        <w:t xml:space="preserve"> todos los modelos Edition25 disponen de grandes prestaciones por un precio atractivo e incluyen sofisticadas opciones. De esta forma, el usuario produce mucho más con su inversión.</w:t>
      </w:r>
    </w:p>
    <w:p w:rsidR="00FD53A5" w:rsidRPr="00C51E9E" w:rsidRDefault="00FD53A5" w:rsidP="00580635"/>
    <w:p w:rsidR="004955E2" w:rsidRPr="00FD53A5" w:rsidRDefault="00FD53A5" w:rsidP="00FD53A5">
      <w:pPr>
        <w:rPr>
          <w:b/>
        </w:rPr>
      </w:pPr>
      <w:r>
        <w:rPr>
          <w:b/>
        </w:rPr>
        <w:t xml:space="preserve">Más servicio: </w:t>
      </w:r>
      <w:r>
        <w:t xml:space="preserve">todos los modelos Edition25 disfrutan de una garantía más amplia que pasa de 12 a 24 meses, junto con todas las demás ventajas del paquete de servicio Warranty Plus 24.</w:t>
        <w:br/>
        <w:t xml:space="preserve">Los siguientes servicios forman parte del paquete: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Servicio a distancia hasta las 18:00 (CET)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Piezas de recambio (excepto piezas de desgaste)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 xml:space="preserve">Servicio presencial con gastos de viaje incluidos</w:t>
      </w:r>
    </w:p>
    <w:p w:rsidR="004955E2" w:rsidRPr="004955E2" w:rsidRDefault="00906FF6" w:rsidP="004955E2">
      <w:pPr>
        <w:pStyle w:val="Listenabsatz"/>
        <w:numPr>
          <w:ilvl w:val="0"/>
          <w:numId w:val="37"/>
        </w:numPr>
      </w:pPr>
      <w:r>
        <w:t xml:space="preserve">Una inspección con gastos de viaje incluidos</w:t>
      </w:r>
    </w:p>
    <w:p w:rsidR="004955E2" w:rsidRPr="004955E2" w:rsidRDefault="00FD53A5" w:rsidP="004955E2">
      <w:r>
        <w:t xml:space="preserve">Esto supone para el usuario la ampliación de la garantía a 24 meses. De este modo, cuenta con un año más de servicio completamente asegurado.</w:t>
      </w:r>
    </w:p>
    <w:p w:rsidR="00F37EDF" w:rsidRPr="00FD53A5" w:rsidRDefault="00F37EDF" w:rsidP="00F37EDF"/>
    <w:p w:rsidR="00AF25EE" w:rsidRPr="00AF25EE" w:rsidRDefault="00F37EDF" w:rsidP="00F37EDF">
      <w:pPr>
        <w:rPr>
          <w:color w:val="auto"/>
        </w:rPr>
      </w:pPr>
      <w:r>
        <w:rPr>
          <w:color w:val="00A0DC" w:themeColor="accent1"/>
          <w:b/>
        </w:rPr>
        <w:t xml:space="preserve">¿Qué máquinas forman parte del programa Edition25?</w:t>
      </w:r>
      <w:r>
        <w:rPr>
          <w:color w:val="00A0DC" w:themeColor="accent1"/>
        </w:rPr>
        <w:t xml:space="preserve"> </w:t>
      </w:r>
      <w:r>
        <w:t xml:space="preserve">Puede consultar esta y mucha más información de HOMAG en la página web:</w:t>
      </w:r>
      <w:r>
        <w:rPr>
          <w:b/>
          <w:bCs/>
          <w:color w:val="auto"/>
          <w:sz w:val="20"/>
          <w:rFonts w:ascii="Arial-BoldMT" w:hAnsi="Arial-BoldMT" w:cs="Arial-BoldMT"/>
        </w:rPr>
        <w:t xml:space="preserve"> </w:t>
      </w:r>
      <w:hyperlink r:id="rId11" w:history="1">
        <w:r>
          <w:rPr>
            <w:rStyle w:val="Hyperlink"/>
            <w:color w:val="auto"/>
          </w:rPr>
          <w:t xml:space="preserve">www.homag.com/edition25</w:t>
        </w:r>
      </w:hyperlink>
    </w:p>
    <w:p w:rsidR="00F2656D" w:rsidRDefault="00D65A21" w:rsidP="00F2656D">
      <w:pPr>
        <w:pStyle w:val="KeinLeerraum"/>
      </w:pPr>
      <w:r>
        <w:br w:type="page"/>
      </w:r>
      <w:r>
        <w:t xml:space="preserve">Imágenes</w:t>
      </w:r>
    </w:p>
    <w:p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 xml:space="preserve">Fuente de las imágenes: HOMAG Group AG</w:t>
      </w:r>
    </w:p>
    <w:p w:rsidR="00F2656D" w:rsidRDefault="00F2656D" w:rsidP="00F2656D">
      <w:pPr>
        <w:pStyle w:val="KeinLeerraum"/>
        <w:rPr>
          <w:b w:val="0"/>
        </w:rPr>
      </w:pPr>
    </w:p>
    <w:p w:rsidR="00B57FAC" w:rsidRPr="00F2656D" w:rsidRDefault="00AC26DA" w:rsidP="00F2656D">
      <w:pPr>
        <w:pStyle w:val="Titel"/>
        <w:rPr>
          <w:b w:val="0"/>
          <w:szCs w:val="22"/>
        </w:rPr>
      </w:pPr>
      <w:r>
        <w:drawing>
          <wp:inline distT="0" distB="0" distL="0" distR="0" wp14:anchorId="10CD7338" wp14:editId="228AA22F">
            <wp:extent cx="5400675" cy="2259372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25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Cs w:val="22"/>
        </w:rPr>
        <w:br/>
        <w:t xml:space="preserve">Los clientes de HOMAG se aseguran innumerables ventajas con los modelos Edition25 hasta el 31 de mayo de 2019</w:t>
      </w:r>
    </w:p>
    <w:p w:rsidR="00B57FAC" w:rsidRPr="001234BA" w:rsidRDefault="00B57FAC" w:rsidP="00F2656D">
      <w:pPr>
        <w:pStyle w:val="Titel"/>
      </w:pPr>
    </w:p>
    <w:p w:rsidR="00B57FAC" w:rsidRPr="001234BA" w:rsidRDefault="00B57FAC" w:rsidP="00F2656D">
      <w:pPr>
        <w:pStyle w:val="Titel"/>
      </w:pPr>
    </w:p>
    <w:p w:rsidR="00481597" w:rsidRPr="001234BA" w:rsidRDefault="00481597" w:rsidP="00F2656D">
      <w:pPr>
        <w:pStyle w:val="Titel"/>
        <w:pBdr>
          <w:bottom w:val="single" w:sz="6" w:space="1" w:color="auto"/>
        </w:pBdr>
      </w:pPr>
    </w:p>
    <w:p w:rsidR="00F2656D" w:rsidRDefault="00F2656D" w:rsidP="008547A0">
      <w:pPr>
        <w:pStyle w:val="Untertitel"/>
      </w:pPr>
    </w:p>
    <w:p w:rsidR="00F2656D" w:rsidRPr="00F2656D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Si tiene preguntas, diríjase a: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Group AG</w:t>
      </w:r>
    </w:p>
    <w:p w:rsidR="00F2656D" w:rsidRPr="008547A0" w:rsidRDefault="00F2656D" w:rsidP="008547A0">
      <w:pPr>
        <w:pStyle w:val="Untertitel"/>
      </w:pPr>
      <w:r>
        <w:t xml:space="preserve">Homagstraße 3–5</w:t>
      </w:r>
    </w:p>
    <w:p w:rsidR="00F2656D" w:rsidRPr="008547A0" w:rsidRDefault="00F2656D" w:rsidP="008547A0">
      <w:pPr>
        <w:pStyle w:val="Untertitel"/>
      </w:pPr>
      <w:r>
        <w:t xml:space="preserve">72296 Schopfloch</w:t>
      </w:r>
    </w:p>
    <w:p w:rsidR="00F2656D" w:rsidRPr="008547A0" w:rsidRDefault="00F2656D" w:rsidP="008547A0">
      <w:pPr>
        <w:pStyle w:val="Untertitel"/>
      </w:pPr>
      <w:r>
        <w:t xml:space="preserve">Alemania</w:t>
      </w:r>
    </w:p>
    <w:p w:rsidR="00F2656D" w:rsidRPr="008547A0" w:rsidRDefault="00F2656D" w:rsidP="008547A0">
      <w:pPr>
        <w:pStyle w:val="Untertitel"/>
      </w:pPr>
      <w:r>
        <w:t xml:space="preserve">www.homag.com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12542" w:rsidRPr="008547A0" w:rsidRDefault="00F12542" w:rsidP="008547A0">
      <w:pPr>
        <w:pStyle w:val="Untertitel"/>
        <w:rPr>
          <w:b/>
        </w:rPr>
      </w:pPr>
      <w:r>
        <w:rPr>
          <w:b/>
        </w:rPr>
        <w:t xml:space="preserve">Sra. Julia Weber</w:t>
      </w:r>
    </w:p>
    <w:p w:rsidR="00F12542" w:rsidRPr="00D743CB" w:rsidRDefault="00F12542" w:rsidP="008547A0">
      <w:pPr>
        <w:pStyle w:val="Untertitel"/>
      </w:pPr>
      <w:r>
        <w:t xml:space="preserve">Customer Communication Manager</w:t>
      </w:r>
    </w:p>
    <w:p w:rsidR="00F12542" w:rsidRPr="00D743CB" w:rsidRDefault="00F12542" w:rsidP="008547A0">
      <w:pPr>
        <w:pStyle w:val="Untertitel"/>
      </w:pPr>
      <w:r>
        <w:t xml:space="preserve">Tel.</w:t>
        <w:tab/>
        <w:t xml:space="preserve">+49 7443 13-2588</w:t>
      </w:r>
    </w:p>
    <w:p w:rsidR="00F12542" w:rsidRPr="00D743CB" w:rsidRDefault="00F12542" w:rsidP="008547A0">
      <w:pPr>
        <w:pStyle w:val="Untertitel"/>
      </w:pPr>
      <w:r>
        <w:t xml:space="preserve">Fax</w:t>
        <w:tab/>
        <w:t xml:space="preserve">+49 7443 13-8-2588</w:t>
      </w:r>
    </w:p>
    <w:p w:rsidR="00481597" w:rsidRPr="008547A0" w:rsidRDefault="00F12542" w:rsidP="008547A0">
      <w:pPr>
        <w:pStyle w:val="Untertitel"/>
      </w:pPr>
      <w:r>
        <w:t xml:space="preserve">julia.weber@homag.com</w:t>
      </w:r>
    </w:p>
    <w:sectPr w:rsidR="00481597" w:rsidRPr="008547A0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2C" w:rsidRDefault="00BB4E2C">
      <w:r>
        <w:separator/>
      </w:r>
    </w:p>
  </w:endnote>
  <w:endnote w:type="continuationSeparator" w:id="0">
    <w:p w:rsidR="00BB4E2C" w:rsidRDefault="00BB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W1G-Bl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2C" w:rsidRDefault="00BB4E2C">
      <w:r>
        <w:separator/>
      </w:r>
    </w:p>
  </w:footnote>
  <w:footnote w:type="continuationSeparator" w:id="0">
    <w:p w:rsidR="00BB4E2C" w:rsidRDefault="00BB4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Comunicado de prensa</w:t>
    </w:r>
    <w:r>
      <w:rPr>
        <w:b/>
        <w:sz w:val="28"/>
      </w:rPr>
      <w:tab/>
    </w:r>
    <w:r>
      <w:drawing>
        <wp:inline distT="0" distB="0" distL="0" distR="0" wp14:anchorId="06A82281" wp14:editId="7B4066D5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:rsidTr="00C74CDC">
      <w:tc>
        <w:tcPr>
          <w:tcW w:w="3402" w:type="dxa"/>
        </w:tcPr>
        <w:p w:rsidR="00C74CDC" w:rsidRDefault="00840F8A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 xml:space="preserve">Ampliación de la promoción Edition25</w:t>
          </w:r>
        </w:p>
        <w:p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:rsidR="00C74CDC" w:rsidRDefault="00C74CDC" w:rsidP="00E943D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Diciembre de 2018</w:t>
          </w:r>
        </w:p>
      </w:tc>
    </w:tr>
  </w:tbl>
  <w:p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1636431"/>
    <w:multiLevelType w:val="hybridMultilevel"/>
    <w:tmpl w:val="EA5698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DC261F"/>
    <w:multiLevelType w:val="hybridMultilevel"/>
    <w:tmpl w:val="7CC613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3C72E94"/>
    <w:multiLevelType w:val="hybridMultilevel"/>
    <w:tmpl w:val="27E868A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AB8215C"/>
    <w:multiLevelType w:val="hybridMultilevel"/>
    <w:tmpl w:val="146239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504144"/>
    <w:multiLevelType w:val="hybridMultilevel"/>
    <w:tmpl w:val="6ED20394"/>
    <w:lvl w:ilvl="0" w:tplc="5D4ED5EC">
      <w:numFmt w:val="bullet"/>
      <w:lvlText w:val=""/>
      <w:lvlJc w:val="left"/>
      <w:pPr>
        <w:ind w:left="720" w:hanging="360"/>
      </w:pPr>
      <w:rPr>
        <w:rFonts w:ascii="SymbolMT" w:eastAsia="SymbolMT" w:hAnsi="Arial" w:cs="SymbolMT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F470AE"/>
    <w:multiLevelType w:val="hybridMultilevel"/>
    <w:tmpl w:val="3EAC9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3"/>
  </w:num>
  <w:num w:numId="4">
    <w:abstractNumId w:val="8"/>
  </w:num>
  <w:num w:numId="5">
    <w:abstractNumId w:val="27"/>
  </w:num>
  <w:num w:numId="6">
    <w:abstractNumId w:val="16"/>
  </w:num>
  <w:num w:numId="7">
    <w:abstractNumId w:val="17"/>
  </w:num>
  <w:num w:numId="8">
    <w:abstractNumId w:val="21"/>
  </w:num>
  <w:num w:numId="9">
    <w:abstractNumId w:val="22"/>
  </w:num>
  <w:num w:numId="10">
    <w:abstractNumId w:val="30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31"/>
  </w:num>
  <w:num w:numId="18">
    <w:abstractNumId w:val="14"/>
  </w:num>
  <w:num w:numId="19">
    <w:abstractNumId w:val="32"/>
  </w:num>
  <w:num w:numId="20">
    <w:abstractNumId w:val="24"/>
  </w:num>
  <w:num w:numId="21">
    <w:abstractNumId w:val="36"/>
  </w:num>
  <w:num w:numId="22">
    <w:abstractNumId w:val="3"/>
  </w:num>
  <w:num w:numId="23">
    <w:abstractNumId w:val="9"/>
  </w:num>
  <w:num w:numId="24">
    <w:abstractNumId w:val="11"/>
  </w:num>
  <w:num w:numId="25">
    <w:abstractNumId w:val="37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9"/>
  </w:num>
  <w:num w:numId="32">
    <w:abstractNumId w:val="33"/>
  </w:num>
  <w:num w:numId="33">
    <w:abstractNumId w:val="35"/>
  </w:num>
  <w:num w:numId="34">
    <w:abstractNumId w:val="10"/>
  </w:num>
  <w:num w:numId="35">
    <w:abstractNumId w:val="34"/>
  </w:num>
  <w:num w:numId="36">
    <w:abstractNumId w:val="15"/>
  </w:num>
  <w:num w:numId="37">
    <w:abstractNumId w:val="20"/>
  </w:num>
  <w:num w:numId="38">
    <w:abstractNumId w:val="28"/>
  </w:num>
  <w:num w:numId="39">
    <w:abstractNumId w:val="26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27E33"/>
    <w:rsid w:val="00036D70"/>
    <w:rsid w:val="000471D4"/>
    <w:rsid w:val="000626D3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0B62"/>
    <w:rsid w:val="00144DE4"/>
    <w:rsid w:val="001544C1"/>
    <w:rsid w:val="00171A90"/>
    <w:rsid w:val="00181328"/>
    <w:rsid w:val="00191B7B"/>
    <w:rsid w:val="0019372F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560A1"/>
    <w:rsid w:val="00257269"/>
    <w:rsid w:val="00262EF5"/>
    <w:rsid w:val="00272217"/>
    <w:rsid w:val="00274D1F"/>
    <w:rsid w:val="00276C42"/>
    <w:rsid w:val="00295BF9"/>
    <w:rsid w:val="002A19F6"/>
    <w:rsid w:val="002A44B1"/>
    <w:rsid w:val="002A557A"/>
    <w:rsid w:val="003014A3"/>
    <w:rsid w:val="00306F18"/>
    <w:rsid w:val="00321923"/>
    <w:rsid w:val="003220C3"/>
    <w:rsid w:val="00346010"/>
    <w:rsid w:val="003463D1"/>
    <w:rsid w:val="003474A5"/>
    <w:rsid w:val="00351017"/>
    <w:rsid w:val="00367548"/>
    <w:rsid w:val="003804F3"/>
    <w:rsid w:val="003A0D46"/>
    <w:rsid w:val="003A464D"/>
    <w:rsid w:val="003E1736"/>
    <w:rsid w:val="003E3908"/>
    <w:rsid w:val="003F1F11"/>
    <w:rsid w:val="003F732F"/>
    <w:rsid w:val="00401216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955E2"/>
    <w:rsid w:val="004A2787"/>
    <w:rsid w:val="004A312C"/>
    <w:rsid w:val="004B1435"/>
    <w:rsid w:val="00513A4B"/>
    <w:rsid w:val="00520897"/>
    <w:rsid w:val="00537C82"/>
    <w:rsid w:val="0054012D"/>
    <w:rsid w:val="005475DE"/>
    <w:rsid w:val="00547750"/>
    <w:rsid w:val="00570C27"/>
    <w:rsid w:val="00580635"/>
    <w:rsid w:val="0058077E"/>
    <w:rsid w:val="0058611D"/>
    <w:rsid w:val="0058634F"/>
    <w:rsid w:val="005A384A"/>
    <w:rsid w:val="005A5380"/>
    <w:rsid w:val="005C623C"/>
    <w:rsid w:val="005D59E6"/>
    <w:rsid w:val="005F022F"/>
    <w:rsid w:val="005F3F60"/>
    <w:rsid w:val="006143F9"/>
    <w:rsid w:val="00623204"/>
    <w:rsid w:val="0066716B"/>
    <w:rsid w:val="0067522F"/>
    <w:rsid w:val="00697D14"/>
    <w:rsid w:val="006C15C6"/>
    <w:rsid w:val="006D5941"/>
    <w:rsid w:val="006E1BAA"/>
    <w:rsid w:val="006E3D48"/>
    <w:rsid w:val="006F1125"/>
    <w:rsid w:val="0070039B"/>
    <w:rsid w:val="007143F9"/>
    <w:rsid w:val="00722564"/>
    <w:rsid w:val="00727B8C"/>
    <w:rsid w:val="00735FDB"/>
    <w:rsid w:val="00737128"/>
    <w:rsid w:val="00742CE2"/>
    <w:rsid w:val="0075114F"/>
    <w:rsid w:val="0076147E"/>
    <w:rsid w:val="00772ED8"/>
    <w:rsid w:val="00774ABF"/>
    <w:rsid w:val="00783449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0F8A"/>
    <w:rsid w:val="008461E1"/>
    <w:rsid w:val="008547A0"/>
    <w:rsid w:val="00891766"/>
    <w:rsid w:val="008A5438"/>
    <w:rsid w:val="008B07C0"/>
    <w:rsid w:val="008C0447"/>
    <w:rsid w:val="009051A1"/>
    <w:rsid w:val="00906FF6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97733"/>
    <w:rsid w:val="00AA3FF1"/>
    <w:rsid w:val="00AB73AA"/>
    <w:rsid w:val="00AC0A7D"/>
    <w:rsid w:val="00AC26DA"/>
    <w:rsid w:val="00AC3B97"/>
    <w:rsid w:val="00AD6878"/>
    <w:rsid w:val="00AD69E4"/>
    <w:rsid w:val="00AD7894"/>
    <w:rsid w:val="00AE3F08"/>
    <w:rsid w:val="00AF25EE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B4E2C"/>
    <w:rsid w:val="00BC229D"/>
    <w:rsid w:val="00BF1F0F"/>
    <w:rsid w:val="00BF3599"/>
    <w:rsid w:val="00BF46E5"/>
    <w:rsid w:val="00BF5A37"/>
    <w:rsid w:val="00C10053"/>
    <w:rsid w:val="00C17557"/>
    <w:rsid w:val="00C45AD8"/>
    <w:rsid w:val="00C51E9E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51167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943D7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37EDF"/>
    <w:rsid w:val="00F73A4F"/>
    <w:rsid w:val="00F8560C"/>
    <w:rsid w:val="00F8653F"/>
    <w:rsid w:val="00FA23C1"/>
    <w:rsid w:val="00FB6D7C"/>
    <w:rsid w:val="00FC3C73"/>
    <w:rsid w:val="00FD53A5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homag.com/edition25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Julia Weber</cp:lastModifiedBy>
  <cp:revision>12</cp:revision>
  <cp:lastPrinted>2018-02-22T10:43:00Z</cp:lastPrinted>
  <dcterms:created xsi:type="dcterms:W3CDTF">2018-08-01T11:54:00Z</dcterms:created>
  <dcterms:modified xsi:type="dcterms:W3CDTF">2018-12-18T14:16:00Z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