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599" w:rsidRDefault="00BF3599" w:rsidP="00BF3599">
      <w:pPr>
        <w:pStyle w:val="berschrift3"/>
      </w:pPr>
      <w:r>
        <mc:AlternateContent>
          <mc:Choice Requires="wpg">
            <w:drawing>
              <wp:anchor distT="0" distB="0" distL="114300" distR="114300" simplePos="0" relativeHeight="251660288" behindDoc="0" locked="0" layoutInCell="1" allowOverlap="1" wp14:anchorId="224ABE69" wp14:editId="2877825C">
                <wp:simplePos x="0" y="0"/>
                <wp:positionH relativeFrom="column">
                  <wp:posOffset>4737735</wp:posOffset>
                </wp:positionH>
                <wp:positionV relativeFrom="paragraph">
                  <wp:posOffset>5080</wp:posOffset>
                </wp:positionV>
                <wp:extent cx="1990725" cy="695619"/>
                <wp:effectExtent l="0" t="0" r="9525" b="9525"/>
                <wp:wrapNone/>
                <wp:docPr id="4" name="Gruppieren 4"/>
                <wp:cNvGraphicFramePr/>
                <a:graphic xmlns:a="http://schemas.openxmlformats.org/drawingml/2006/main">
                  <a:graphicData uri="http://schemas.microsoft.com/office/word/2010/wordprocessingGroup">
                    <wpg:wgp>
                      <wpg:cNvGrpSpPr/>
                      <wpg:grpSpPr>
                        <a:xfrm>
                          <a:off x="0" y="0"/>
                          <a:ext cx="1990725" cy="695619"/>
                          <a:chOff x="0" y="0"/>
                          <a:chExt cx="1990725" cy="771230"/>
                        </a:xfrm>
                      </wpg:grpSpPr>
                      <wps:wsp>
                        <wps:cNvPr id="2" name="Rechteck 2"/>
                        <wps:cNvSpPr/>
                        <wps:spPr>
                          <a:xfrm>
                            <a:off x="0" y="0"/>
                            <a:ext cx="1990725" cy="7712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F732F" w:rsidRDefault="003F732F" w:rsidP="003F732F">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Textfeld 3"/>
                        <wps:cNvSpPr txBox="1"/>
                        <wps:spPr>
                          <a:xfrm>
                            <a:off x="0" y="57150"/>
                            <a:ext cx="1990725" cy="7140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F732F" w:rsidRDefault="003F732F" w:rsidP="003F732F">
                              <w:pPr>
                                <w:widowControl/>
                                <w:autoSpaceDE w:val="0"/>
                                <w:autoSpaceDN w:val="0"/>
                                <w:adjustRightInd w:val="0"/>
                                <w:spacing w:after="0" w:line="240" w:lineRule="auto"/>
                                <w:jc w:val="both"/>
                                <w:rPr>
                                  <w:color w:val="FFFFFF" w:themeColor="background1"/>
                                  <w:sz w:val="24"/>
                                  <w:szCs w:val="24"/>
                                  <w:rFonts w:ascii="HelveticaNeueLTW1G-Blk" w:hAnsi="HelveticaNeueLTW1G-Blk" w:cs="HelveticaNeueLTW1G-Blk"/>
                                </w:rPr>
                              </w:pPr>
                              <w:r>
                                <w:rPr>
                                  <w:color w:val="FFFFFF" w:themeColor="background1"/>
                                  <w:sz w:val="24"/>
                                  <w:szCs w:val="24"/>
                                  <w:rFonts w:ascii="HelveticaNeueLTW1G-Blk" w:hAnsi="HelveticaNeueLTW1G-Blk" w:cs="HelveticaNeueLTW1G-Blk"/>
                                </w:rPr>
                                <w:t xml:space="preserve">DURÉE DE L'ACTION</w:t>
                              </w:r>
                            </w:p>
                            <w:p w:rsidR="00BF3599" w:rsidRPr="00BF3599" w:rsidRDefault="00BF3599" w:rsidP="003F732F">
                              <w:pPr>
                                <w:widowControl/>
                                <w:autoSpaceDE w:val="0"/>
                                <w:autoSpaceDN w:val="0"/>
                                <w:adjustRightInd w:val="0"/>
                                <w:spacing w:after="0" w:line="240" w:lineRule="auto"/>
                                <w:jc w:val="both"/>
                                <w:rPr>
                                  <w:color w:val="001941" w:themeColor="text2"/>
                                  <w:sz w:val="24"/>
                                  <w:szCs w:val="24"/>
                                  <w:rFonts w:ascii="HelveticaNeueLTW1G-Blk" w:hAnsi="HelveticaNeueLTW1G-Blk" w:cs="HelveticaNeueLTW1G-Blk"/>
                                </w:rPr>
                              </w:pPr>
                              <w:r>
                                <w:rPr>
                                  <w:color w:val="001941" w:themeColor="text2"/>
                                  <w:sz w:val="24"/>
                                  <w:szCs w:val="24"/>
                                  <w:rFonts w:ascii="HelveticaNeueLTW1G-Blk" w:hAnsi="HelveticaNeueLTW1G-Blk" w:cs="HelveticaNeueLTW1G-Blk"/>
                                </w:rPr>
                                <w:t xml:space="preserve">PROLONGATION !</w:t>
                              </w:r>
                            </w:p>
                            <w:p w:rsidR="003F732F" w:rsidRPr="003F732F" w:rsidRDefault="00BF3599" w:rsidP="003F732F">
                              <w:pPr>
                                <w:jc w:val="both"/>
                                <w:rPr>
                                  <w:color w:val="FFFFFF" w:themeColor="background1"/>
                                </w:rPr>
                              </w:pPr>
                              <w:r>
                                <w:rPr>
                                  <w:color w:val="FFFFFF" w:themeColor="background1"/>
                                  <w:sz w:val="24"/>
                                  <w:szCs w:val="24"/>
                                  <w:rFonts w:ascii="HelveticaNeueLTW1G-Blk" w:hAnsi="HelveticaNeueLTW1G-Blk" w:cs="HelveticaNeueLTW1G-Blk"/>
                                </w:rPr>
                                <w:t xml:space="preserve">JUSQU'AU 13/05/2019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id="Gruppieren 4" o:spid="_x0000_s1026" style="position:absolute;margin-left:373.05pt;margin-top:.4pt;width:156.75pt;height:54.75pt;z-index:251660288;mso-height-relative:margin" coordsize="19907,7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">
                <v:rect id="Rechteck 2" o:spid="_x0000_s1027" style="position:absolute;width:19907;height:77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9268IA&#10;AADaAAAADwAAAGRycy9kb3ducmV2LnhtbESPQWsCMRSE7wX/Q3iCt5pVUMpqFBUUj9ZKqbfH5rlZ&#10;3LyETdZd++ubQqHHYWa+YZbr3tbiQU2oHCuYjDMQxIXTFZcKLh/71zcQISJrrB2TgicFWK8GL0vM&#10;tev4nR7nWIoE4ZCjAhOjz6UMhSGLYew8cfJurrEYk2xKqRvsEtzWcpplc2mx4rRg0NPOUHE/t1aB&#10;P1xO15vZ+m7+/Jwd+rL9+q5apUbDfrMAEamP/+G/9lErmMLvlXQD5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n3brwgAAANoAAAAPAAAAAAAAAAAAAAAAAJgCAABkcnMvZG93&#10;bnJldi54bWxQSwUGAAAAAAQABAD1AAAAhwMAAAAA&#10;" fillcolor="#00a0dc [3204]" stroked="f" strokeweight="2pt">
                  <v:textbox>
                    <w:txbxContent>
                      <w:p w:rsidR="003F732F" w:rsidRDefault="003F732F" w:rsidP="003F732F">
                        <w:pPr>
                          <w:jc w:val="both"/>
                        </w:pPr>
                      </w:p>
                    </w:txbxContent>
                  </v:textbox>
                </v:rect>
                <v:shapetype id="_x0000_t202" coordsize="21600,21600" o:spt="202" path="m,l,21600r21600,l21600,xe">
                  <v:stroke joinstyle="miter"/>
                  <v:path gradientshapeok="t" o:connecttype="rect"/>
                </v:shapetype>
                <v:shape id="Textfeld 3" o:spid="_x0000_s1028" type="#_x0000_t202" style="position:absolute;top:571;width:19907;height:7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feoMUA&#10;AADaAAAADwAAAGRycy9kb3ducmV2LnhtbESPQWvCQBSE7wX/w/IEb3VTpRJSVwmB0CLtwdRLb6/Z&#10;ZxKafZtmtyb6692C4HGYmW+Y9XY0rThR7xrLCp7mEQji0uqGKwWHz/wxBuE8ssbWMik4k4PtZvKw&#10;xkTbgfd0KnwlAoRdggpq77tESlfWZNDNbUccvKPtDfog+0rqHocAN61cRNFKGmw4LNTYUVZT+VP8&#10;GQW7LP/A/ffCxJc2e30/pt3v4etZqdl0TF9AeBr9PXxrv2kFS/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x96gxQAAANoAAAAPAAAAAAAAAAAAAAAAAJgCAABkcnMv&#10;ZG93bnJldi54bWxQSwUGAAAAAAQABAD1AAAAigMAAAAA&#10;" filled="f" stroked="f" strokeweight=".5pt">
                  <v:textbox>
                    <w:txbxContent>
                      <w:p w:rsidR="003F732F" w:rsidRDefault="003F732F" w:rsidP="003F732F">
                        <w:pPr>
                          <w:widowControl/>
                          <w:autoSpaceDE w:val="0"/>
                          <w:autoSpaceDN w:val="0"/>
                          <w:adjustRightInd w:val="0"/>
                          <w:spacing w:after="0" w:line="240" w:lineRule="auto"/>
                          <w:jc w:val="both"/>
                          <w:rPr>
                            <w:color w:val="FFFFFF" w:themeColor="background1"/>
                            <w:sz w:val="24"/>
                            <w:szCs w:val="24"/>
                            <w:rFonts w:ascii="HelveticaNeueLTW1G-Blk" w:hAnsi="HelveticaNeueLTW1G-Blk" w:cs="HelveticaNeueLTW1G-Blk"/>
                          </w:rPr>
                        </w:pPr>
                        <w:r>
                          <w:rPr>
                            <w:color w:val="FFFFFF" w:themeColor="background1"/>
                            <w:sz w:val="24"/>
                            <w:szCs w:val="24"/>
                            <w:rFonts w:ascii="HelveticaNeueLTW1G-Blk" w:hAnsi="HelveticaNeueLTW1G-Blk" w:cs="HelveticaNeueLTW1G-Blk"/>
                          </w:rPr>
                          <w:t xml:space="preserve">DURÉE DE L'ACTION</w:t>
                        </w:r>
                      </w:p>
                      <w:p w:rsidR="00BF3599" w:rsidRPr="00BF3599" w:rsidRDefault="00BF3599" w:rsidP="003F732F">
                        <w:pPr>
                          <w:widowControl/>
                          <w:autoSpaceDE w:val="0"/>
                          <w:autoSpaceDN w:val="0"/>
                          <w:adjustRightInd w:val="0"/>
                          <w:spacing w:after="0" w:line="240" w:lineRule="auto"/>
                          <w:jc w:val="both"/>
                          <w:rPr>
                            <w:color w:val="001941" w:themeColor="text2"/>
                            <w:sz w:val="24"/>
                            <w:szCs w:val="24"/>
                            <w:rFonts w:ascii="HelveticaNeueLTW1G-Blk" w:hAnsi="HelveticaNeueLTW1G-Blk" w:cs="HelveticaNeueLTW1G-Blk"/>
                          </w:rPr>
                        </w:pPr>
                        <w:r>
                          <w:rPr>
                            <w:color w:val="001941" w:themeColor="text2"/>
                            <w:sz w:val="24"/>
                            <w:szCs w:val="24"/>
                            <w:rFonts w:ascii="HelveticaNeueLTW1G-Blk" w:hAnsi="HelveticaNeueLTW1G-Blk" w:cs="HelveticaNeueLTW1G-Blk"/>
                          </w:rPr>
                          <w:t xml:space="preserve">PROLONGATION !</w:t>
                        </w:r>
                      </w:p>
                      <w:p w:rsidR="003F732F" w:rsidRPr="003F732F" w:rsidRDefault="00BF3599" w:rsidP="003F732F">
                        <w:pPr>
                          <w:jc w:val="both"/>
                          <w:rPr>
                            <w:color w:val="FFFFFF" w:themeColor="background1"/>
                          </w:rPr>
                        </w:pPr>
                        <w:r>
                          <w:rPr>
                            <w:color w:val="FFFFFF" w:themeColor="background1"/>
                            <w:sz w:val="24"/>
                            <w:szCs w:val="24"/>
                            <w:rFonts w:ascii="HelveticaNeueLTW1G-Blk" w:hAnsi="HelveticaNeueLTW1G-Blk" w:cs="HelveticaNeueLTW1G-Blk"/>
                          </w:rPr>
                          <w:t xml:space="preserve">JUSQU'AU 13/05/2019</w:t>
                        </w:r>
                      </w:p>
                    </w:txbxContent>
                  </v:textbox>
                </v:shape>
              </v:group>
            </w:pict>
          </mc:Fallback>
        </mc:AlternateContent>
      </w:r>
      <w:r>
        <w:t xml:space="preserve">Prolongation de l'offre jusqu'au 31/05/2019 !</w:t>
      </w:r>
    </w:p>
    <w:p w:rsidR="00BF3599" w:rsidRDefault="00BF3599" w:rsidP="00BF3599">
      <w:pPr>
        <w:pStyle w:val="berschrift1"/>
      </w:pPr>
      <w:r>
        <w:t xml:space="preserve">EDITION 25 : davantage tourné vers l'avenir et la technique, </w:t>
        <w:br/>
        <w:t xml:space="preserve">Service complet également disponible en 2019</w:t>
      </w:r>
    </w:p>
    <w:p w:rsidR="00BF3599" w:rsidRPr="00BF3599" w:rsidRDefault="00BF3599" w:rsidP="00BF3599">
      <w:pPr>
        <w:rPr>
          <w:b/>
        </w:rPr>
      </w:pPr>
      <w:r>
        <w:rPr>
          <w:b/>
        </w:rPr>
        <w:t xml:space="preserve">En raison de la forte demande, HOMAG prolonge son offre jusqu'à fin mai 2019 et le portefeuille de machines Edition25 reste inchangé : solutions d'automatisation, scies de découpe de panneaux, machines d'usinage des surfaces, des chants et CNC, machines de taille de charpente, sans oublier les logiciels correspondants.</w:t>
      </w:r>
      <w:r>
        <w:rPr>
          <w:b/>
        </w:rPr>
        <w:t xml:space="preserve"> </w:t>
      </w:r>
    </w:p>
    <w:p w:rsidR="00AF25EE" w:rsidRDefault="008A5438" w:rsidP="00AF25EE">
      <w:r>
        <w:t xml:space="preserve">HOMAG a toutes les raisons de célébrer cette année : pour la 25e édition des Journées Techniques, HOMAG a remercié ses clients actuels et potentiels du monde entier en leur offrant un portefeuille de plus de 25 machines qui se distinguent par leur prix, leur équipement et leur service. HOMAG a conçu ces modèles spéciaux en parfaite adéquation avec les besoins actuels des clients : une numérisation, une puissance, des services et des produits numériques améliorés pour un démarrage facile et une production encore plus moderne. De plus, de nombreux produits peuvent être fabriqués et livrés rapidement, permettant ainsi à l'utilisateur d'utiliser une nouvelle machine pour sa production dans les plus brefs délais. Tous les modèles présentent un nombre accru de possibilités, un prix avantageux ainsi que des packs de numérisation et de services attractifs par rapport à la solution standard de chaque type de machine. Voici les avantages concrets :</w:t>
      </w:r>
    </w:p>
    <w:p w:rsidR="00FD53A5" w:rsidRDefault="00FD53A5" w:rsidP="00AF25EE"/>
    <w:p w:rsidR="00580635" w:rsidRDefault="0075114F" w:rsidP="00580635">
      <w:r>
        <w:rPr>
          <w:b/>
        </w:rPr>
        <w:t xml:space="preserve">Une numérisation accrue :</w:t>
      </w:r>
      <w:r>
        <w:t xml:space="preserve"> tous les modèles Edition25 sont entièrement numériques et compatibles tapio. Des applications utiles sont incluses dans tous les modèles :</w:t>
      </w:r>
    </w:p>
    <w:p w:rsidR="00580635" w:rsidRDefault="00580635" w:rsidP="00580635">
      <w:pPr>
        <w:pStyle w:val="Listenabsatz"/>
        <w:numPr>
          <w:ilvl w:val="0"/>
          <w:numId w:val="39"/>
        </w:numPr>
      </w:pPr>
      <w:r>
        <w:t xml:space="preserve">« MachineBoard »* : données et état de la machine disponibles en temps réel</w:t>
      </w:r>
    </w:p>
    <w:p w:rsidR="00580635" w:rsidRDefault="00580635" w:rsidP="00580635">
      <w:pPr>
        <w:pStyle w:val="Listenabsatz"/>
        <w:numPr>
          <w:ilvl w:val="0"/>
          <w:numId w:val="39"/>
        </w:numPr>
      </w:pPr>
      <w:r>
        <w:t xml:space="preserve">« ServiceBoard »</w:t>
      </w:r>
      <w:r>
        <w:rPr>
          <w:b/>
          <w:bCs/>
          <w:rFonts w:ascii="Arial-BoldMT" w:hAnsi="Arial-BoldMT" w:cs="Arial-BoldMT"/>
        </w:rPr>
        <w:t xml:space="preserve">*</w:t>
      </w:r>
      <w:r>
        <w:t xml:space="preserve"> : diagnostic vidéo sans câble en temps réel</w:t>
      </w:r>
    </w:p>
    <w:p w:rsidR="00580635" w:rsidRDefault="00580635" w:rsidP="00580635">
      <w:pPr>
        <w:pStyle w:val="Listenabsatz"/>
        <w:numPr>
          <w:ilvl w:val="0"/>
          <w:numId w:val="39"/>
        </w:numPr>
      </w:pPr>
      <w:r>
        <w:t xml:space="preserve">« DataSave »* : sauvegarde automatique des données de la machine</w:t>
      </w:r>
    </w:p>
    <w:p w:rsidR="00580635" w:rsidRDefault="00580635" w:rsidP="00580635">
      <w:pPr>
        <w:pStyle w:val="Listenabsatz"/>
        <w:numPr>
          <w:ilvl w:val="0"/>
          <w:numId w:val="39"/>
        </w:numPr>
      </w:pPr>
      <w:r>
        <w:t xml:space="preserve">MMR professional : monitoring afin d'optimiser la production</w:t>
      </w:r>
    </w:p>
    <w:p w:rsidR="003F1F11" w:rsidRPr="00C51E9E" w:rsidRDefault="003F1F11" w:rsidP="003F1F11">
      <w:pPr>
        <w:pStyle w:val="Listenabsatz"/>
        <w:rPr>
          <w:sz w:val="18"/>
        </w:rPr>
      </w:pPr>
      <w:r>
        <w:rPr>
          <w:sz w:val="18"/>
        </w:rPr>
        <w:t xml:space="preserve">*Actuellement disponible dans l'UE et en Suisse.</w:t>
      </w:r>
    </w:p>
    <w:p w:rsidR="00580635" w:rsidRPr="00C51E9E" w:rsidRDefault="003F1F11" w:rsidP="003F1F11">
      <w:pPr>
        <w:pStyle w:val="Listenabsatz"/>
        <w:rPr>
          <w:sz w:val="18"/>
        </w:rPr>
      </w:pPr>
      <w:r>
        <w:rPr>
          <w:sz w:val="18"/>
        </w:rPr>
        <w:t xml:space="preserve">(En raison du caractère changeant de l'environnement informatique, nous garantissons la compatibilité avec la plateforme tapio pour une durée de 5 ans)</w:t>
      </w:r>
    </w:p>
    <w:p w:rsidR="00783449" w:rsidRPr="00C51E9E" w:rsidRDefault="00783449" w:rsidP="00580635">
      <w:r>
        <w:t xml:space="preserve">Grâce à la puissance de calcul pratiquement illimitée des solutions logicielles basées sur le Cloud, l'utilisateur peut accroître la disponibilité des machines.</w:t>
      </w:r>
    </w:p>
    <w:p w:rsidR="00FD53A5" w:rsidRPr="00C51E9E" w:rsidRDefault="00FD53A5" w:rsidP="00580635"/>
    <w:p w:rsidR="00783449" w:rsidRPr="00C51E9E" w:rsidRDefault="0075114F" w:rsidP="00580635">
      <w:r>
        <w:rPr>
          <w:b/>
        </w:rPr>
        <w:t xml:space="preserve">Des possibilités diversifiées :</w:t>
      </w:r>
      <w:r>
        <w:t xml:space="preserve"> tous les modèles Edition25 offrent des possibilités étendues à un prix avantageux et incluent des options étendues. Suite à cet investissement, l'utilisateur est en mesure de produire à un niveau supérieur.</w:t>
      </w:r>
    </w:p>
    <w:p w:rsidR="00FD53A5" w:rsidRPr="00C51E9E" w:rsidRDefault="00FD53A5" w:rsidP="00580635"/>
    <w:p w:rsidR="004955E2" w:rsidRPr="00FD53A5" w:rsidRDefault="00FD53A5" w:rsidP="00FD53A5">
      <w:pPr>
        <w:rPr>
          <w:b/>
        </w:rPr>
      </w:pPr>
      <w:r>
        <w:rPr>
          <w:b/>
        </w:rPr>
        <w:t xml:space="preserve">Des services complets :</w:t>
      </w:r>
      <w:r>
        <w:t xml:space="preserve"> tous les modèles Edition25 disposent d'une extension de garantie de 12 à 24 mois ainsi que d'avantages supplémentaires compris dans le pack de services Warranty Plus 24. </w:t>
        <w:br/>
        <w:t xml:space="preserve">Les services suivants sont donc inclus :</w:t>
      </w:r>
    </w:p>
    <w:p w:rsidR="004955E2" w:rsidRPr="004955E2" w:rsidRDefault="004955E2" w:rsidP="004955E2">
      <w:pPr>
        <w:pStyle w:val="Listenabsatz"/>
        <w:numPr>
          <w:ilvl w:val="0"/>
          <w:numId w:val="37"/>
        </w:numPr>
      </w:pPr>
      <w:r>
        <w:t xml:space="preserve">Assistance téléphonique jusqu'à 18 heures (HEC)</w:t>
      </w:r>
    </w:p>
    <w:p w:rsidR="004955E2" w:rsidRPr="004955E2" w:rsidRDefault="004955E2" w:rsidP="004955E2">
      <w:pPr>
        <w:pStyle w:val="Listenabsatz"/>
        <w:numPr>
          <w:ilvl w:val="0"/>
          <w:numId w:val="37"/>
        </w:numPr>
      </w:pPr>
      <w:r>
        <w:t xml:space="preserve">Pièces de rechange (excepté les pièces d'usure)</w:t>
      </w:r>
    </w:p>
    <w:p w:rsidR="004955E2" w:rsidRPr="004955E2" w:rsidRDefault="004955E2" w:rsidP="004955E2">
      <w:pPr>
        <w:pStyle w:val="Listenabsatz"/>
        <w:numPr>
          <w:ilvl w:val="0"/>
          <w:numId w:val="37"/>
        </w:numPr>
      </w:pPr>
      <w:r>
        <w:t xml:space="preserve">SAV sur site (frais de déplacement inclus)</w:t>
      </w:r>
    </w:p>
    <w:p w:rsidR="004955E2" w:rsidRPr="004955E2" w:rsidRDefault="00906FF6" w:rsidP="004955E2">
      <w:pPr>
        <w:pStyle w:val="Listenabsatz"/>
        <w:numPr>
          <w:ilvl w:val="0"/>
          <w:numId w:val="37"/>
        </w:numPr>
      </w:pPr>
      <w:r>
        <w:t xml:space="preserve">Une inspection (frais de déplacement inclus)</w:t>
      </w:r>
    </w:p>
    <w:p w:rsidR="004955E2" w:rsidRPr="004955E2" w:rsidRDefault="00FD53A5" w:rsidP="004955E2">
      <w:r>
        <w:t xml:space="preserve">Pour l'utilisateur, cela signifie une extension de garantie de 24 mois. Il bénéficie donc d'une couverture complète en cas d'intervention du SAV pendant une année supplémentaire.</w:t>
      </w:r>
    </w:p>
    <w:p w:rsidR="00F37EDF" w:rsidRPr="00FD53A5" w:rsidRDefault="00F37EDF" w:rsidP="00F37EDF"/>
    <w:p w:rsidR="00AF25EE" w:rsidRPr="00AF25EE" w:rsidRDefault="00F37EDF" w:rsidP="00F37EDF">
      <w:pPr>
        <w:rPr>
          <w:color w:val="auto"/>
        </w:rPr>
      </w:pPr>
      <w:r>
        <w:rPr>
          <w:color w:val="00A0DC" w:themeColor="accent1"/>
          <w:b/>
        </w:rPr>
        <w:t xml:space="preserve">Quelles machines font partie du programme Edition25 ?</w:t>
      </w:r>
      <w:r>
        <w:rPr>
          <w:color w:val="00A0DC" w:themeColor="accent1"/>
        </w:rPr>
        <w:t xml:space="preserve"> </w:t>
      </w:r>
      <w:r>
        <w:t xml:space="preserve">HOMAG a mis à disposition ces informations et des détails supplémentaires à l'adresse suivante :</w:t>
      </w:r>
      <w:r>
        <w:rPr>
          <w:b/>
          <w:bCs/>
          <w:color w:val="auto"/>
          <w:sz w:val="20"/>
          <w:rFonts w:ascii="Arial-BoldMT" w:hAnsi="Arial-BoldMT" w:cs="Arial-BoldMT"/>
        </w:rPr>
        <w:t xml:space="preserve"> </w:t>
      </w:r>
      <w:hyperlink r:id="rId11" w:history="1">
        <w:r>
          <w:rPr>
            <w:rStyle w:val="Hyperlink"/>
            <w:color w:val="auto"/>
          </w:rPr>
          <w:t xml:space="preserve">www.homag.com/edition25</w:t>
        </w:r>
      </w:hyperlink>
    </w:p>
    <w:p w:rsidR="00F2656D" w:rsidRDefault="00D65A21" w:rsidP="00F2656D">
      <w:pPr>
        <w:pStyle w:val="KeinLeerraum"/>
      </w:pPr>
      <w:r>
        <w:br w:type="page"/>
      </w:r>
      <w:r>
        <w:t xml:space="preserve">Images</w:t>
      </w:r>
    </w:p>
    <w:p w:rsidR="00F2656D" w:rsidRDefault="00F2656D" w:rsidP="00F2656D">
      <w:pPr>
        <w:pStyle w:val="KeinLeerraum"/>
        <w:rPr>
          <w:b w:val="0"/>
        </w:rPr>
      </w:pPr>
      <w:r>
        <w:rPr>
          <w:b w:val="0"/>
        </w:rPr>
        <w:t xml:space="preserve">Source des images : HOMAG Group AG</w:t>
      </w:r>
    </w:p>
    <w:p w:rsidR="00F2656D" w:rsidRDefault="00F2656D" w:rsidP="00F2656D">
      <w:pPr>
        <w:pStyle w:val="KeinLeerraum"/>
        <w:rPr>
          <w:b w:val="0"/>
        </w:rPr>
      </w:pPr>
    </w:p>
    <w:p w:rsidR="00B57FAC" w:rsidRPr="00F2656D" w:rsidRDefault="00AC26DA" w:rsidP="00F2656D">
      <w:pPr>
        <w:pStyle w:val="Titel"/>
        <w:rPr>
          <w:b w:val="0"/>
          <w:szCs w:val="22"/>
        </w:rPr>
      </w:pPr>
      <w:r>
        <w:drawing>
          <wp:inline distT="0" distB="0" distL="0" distR="0" wp14:anchorId="10CD7338" wp14:editId="228AA22F">
            <wp:extent cx="5400675" cy="2259372"/>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a:ext>
                      </a:extLst>
                    </a:blip>
                    <a:stretch>
                      <a:fillRect/>
                    </a:stretch>
                  </pic:blipFill>
                  <pic:spPr>
                    <a:xfrm>
                      <a:off x="0" y="0"/>
                      <a:ext cx="5400675" cy="2259372"/>
                    </a:xfrm>
                    <a:prstGeom prst="rect">
                      <a:avLst/>
                    </a:prstGeom>
                  </pic:spPr>
                </pic:pic>
              </a:graphicData>
            </a:graphic>
          </wp:inline>
        </w:drawing>
      </w:r>
      <w:r>
        <w:rPr>
          <w:b w:val="0"/>
          <w:szCs w:val="22"/>
        </w:rPr>
        <w:br/>
        <w:t xml:space="preserve">A travers les modèles Edition25, les clients HOMAG bénéficient d'une multitude d'avantages jusqu'au 31 mai 2019.</w:t>
      </w:r>
    </w:p>
    <w:p w:rsidR="00B57FAC" w:rsidRPr="001234BA" w:rsidRDefault="00B57FAC" w:rsidP="00F2656D">
      <w:pPr>
        <w:pStyle w:val="Titel"/>
      </w:pPr>
    </w:p>
    <w:p w:rsidR="00B57FAC" w:rsidRPr="001234BA" w:rsidRDefault="00B57FAC" w:rsidP="00F2656D">
      <w:pPr>
        <w:pStyle w:val="Titel"/>
      </w:pPr>
    </w:p>
    <w:p w:rsidR="00481597" w:rsidRPr="001234BA" w:rsidRDefault="00481597" w:rsidP="00F2656D">
      <w:pPr>
        <w:pStyle w:val="Titel"/>
        <w:pBdr>
          <w:bottom w:val="single" w:sz="6" w:space="1" w:color="auto"/>
        </w:pBdr>
      </w:pPr>
    </w:p>
    <w:p w:rsidR="00F2656D" w:rsidRDefault="00F2656D" w:rsidP="008547A0">
      <w:pPr>
        <w:pStyle w:val="Untertitel"/>
      </w:pPr>
    </w:p>
    <w:p w:rsidR="00F2656D" w:rsidRPr="00F2656D" w:rsidRDefault="00F2656D" w:rsidP="008547A0">
      <w:pPr>
        <w:pStyle w:val="Untertitel"/>
      </w:pPr>
    </w:p>
    <w:p w:rsidR="00F2656D" w:rsidRPr="008547A0" w:rsidRDefault="00F2656D" w:rsidP="008547A0">
      <w:pPr>
        <w:pStyle w:val="Untertitel"/>
        <w:rPr>
          <w:b/>
        </w:rPr>
      </w:pPr>
      <w:r>
        <w:rPr>
          <w:b/>
        </w:rPr>
        <w:t xml:space="preserve">Pour toute question, veuillez contacter :</w:t>
      </w:r>
    </w:p>
    <w:p w:rsidR="00F2656D" w:rsidRPr="008547A0" w:rsidRDefault="00F2656D" w:rsidP="008547A0">
      <w:pPr>
        <w:pStyle w:val="Untertitel"/>
      </w:pPr>
    </w:p>
    <w:p w:rsidR="00F2656D" w:rsidRPr="008547A0" w:rsidRDefault="00F2656D" w:rsidP="008547A0">
      <w:pPr>
        <w:pStyle w:val="Untertitel"/>
      </w:pPr>
    </w:p>
    <w:p w:rsidR="00F2656D" w:rsidRPr="008547A0" w:rsidRDefault="00F2656D" w:rsidP="008547A0">
      <w:pPr>
        <w:pStyle w:val="Untertitel"/>
        <w:rPr>
          <w:b/>
        </w:rPr>
      </w:pPr>
      <w:r>
        <w:rPr>
          <w:b/>
        </w:rPr>
        <w:t xml:space="preserve">HOMAG Group AG</w:t>
      </w:r>
    </w:p>
    <w:p w:rsidR="00F2656D" w:rsidRPr="008547A0" w:rsidRDefault="00F2656D" w:rsidP="008547A0">
      <w:pPr>
        <w:pStyle w:val="Untertitel"/>
      </w:pPr>
      <w:r>
        <w:t xml:space="preserve">Homagstraße 3–5</w:t>
      </w:r>
    </w:p>
    <w:p w:rsidR="00F2656D" w:rsidRPr="008547A0" w:rsidRDefault="00F2656D" w:rsidP="008547A0">
      <w:pPr>
        <w:pStyle w:val="Untertitel"/>
      </w:pPr>
      <w:r>
        <w:t xml:space="preserve">D-72296 Schopfloch</w:t>
      </w:r>
    </w:p>
    <w:p w:rsidR="00F2656D" w:rsidRPr="008547A0" w:rsidRDefault="00F2656D" w:rsidP="008547A0">
      <w:pPr>
        <w:pStyle w:val="Untertitel"/>
      </w:pPr>
      <w:r>
        <w:t xml:space="preserve">Allemagne</w:t>
      </w:r>
    </w:p>
    <w:p w:rsidR="00F2656D" w:rsidRPr="008547A0" w:rsidRDefault="00F2656D" w:rsidP="008547A0">
      <w:pPr>
        <w:pStyle w:val="Untertitel"/>
      </w:pPr>
      <w:r>
        <w:t xml:space="preserve">www.homag.com</w:t>
      </w:r>
    </w:p>
    <w:p w:rsidR="00F2656D" w:rsidRPr="008547A0" w:rsidRDefault="00F2656D" w:rsidP="008547A0">
      <w:pPr>
        <w:pStyle w:val="Untertitel"/>
      </w:pPr>
    </w:p>
    <w:p w:rsidR="00F2656D" w:rsidRPr="008547A0" w:rsidRDefault="00F2656D" w:rsidP="008547A0">
      <w:pPr>
        <w:pStyle w:val="Untertitel"/>
      </w:pPr>
    </w:p>
    <w:p w:rsidR="00F12542" w:rsidRPr="008547A0" w:rsidRDefault="00F12542" w:rsidP="008547A0">
      <w:pPr>
        <w:pStyle w:val="Untertitel"/>
        <w:rPr>
          <w:b/>
        </w:rPr>
      </w:pPr>
      <w:r>
        <w:rPr>
          <w:b/>
        </w:rPr>
        <w:t xml:space="preserve">Mme Julia Weber</w:t>
      </w:r>
    </w:p>
    <w:p w:rsidR="00F12542" w:rsidRPr="00D743CB" w:rsidRDefault="00F12542" w:rsidP="008547A0">
      <w:pPr>
        <w:pStyle w:val="Untertitel"/>
      </w:pPr>
      <w:r>
        <w:t xml:space="preserve">Customer Communication Manager</w:t>
      </w:r>
    </w:p>
    <w:p w:rsidR="00F12542" w:rsidRPr="00D743CB" w:rsidRDefault="00F12542" w:rsidP="008547A0">
      <w:pPr>
        <w:pStyle w:val="Untertitel"/>
      </w:pPr>
      <w:r>
        <w:t xml:space="preserve">Tél.</w:t>
        <w:tab/>
        <w:t xml:space="preserve">+49 7443 13-2588</w:t>
      </w:r>
    </w:p>
    <w:p w:rsidR="00F12542" w:rsidRPr="00D743CB" w:rsidRDefault="00F12542" w:rsidP="008547A0">
      <w:pPr>
        <w:pStyle w:val="Untertitel"/>
      </w:pPr>
      <w:r>
        <w:t xml:space="preserve">Fax</w:t>
        <w:tab/>
        <w:t xml:space="preserve">+49 7443 13-8-2588</w:t>
      </w:r>
    </w:p>
    <w:p w:rsidR="00481597" w:rsidRPr="008547A0" w:rsidRDefault="00F12542" w:rsidP="008547A0">
      <w:pPr>
        <w:pStyle w:val="Untertitel"/>
      </w:pPr>
      <w:r>
        <w:t xml:space="preserve">julia.weber@homag.com</w:t>
      </w:r>
    </w:p>
    <w:sectPr w:rsidR="00481597" w:rsidRPr="008547A0" w:rsidSect="00FE18D8">
      <w:headerReference w:type="default" r:id="rId13"/>
      <w:footerReference w:type="default" r:id="rId14"/>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E2C" w:rsidRDefault="00BB4E2C">
      <w:r>
        <w:separator/>
      </w:r>
    </w:p>
  </w:endnote>
  <w:endnote w:type="continuationSeparator" w:id="0">
    <w:p w:rsidR="00BB4E2C" w:rsidRDefault="00BB4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MT">
    <w:altName w:val="Arial Unicode MS"/>
    <w:panose1 w:val="00000000000000000000"/>
    <w:charset w:val="88"/>
    <w:family w:val="auto"/>
    <w:notTrueType/>
    <w:pitch w:val="default"/>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NeueLTW1G-Blk">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12D" w:rsidRDefault="0054012D">
    <w:pPr>
      <w:pStyle w:val="Fuzeile"/>
      <w:widowControl/>
      <w:rPr>
        <w:sz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E2C" w:rsidRDefault="00BB4E2C">
      <w:r>
        <w:separator/>
      </w:r>
    </w:p>
  </w:footnote>
  <w:footnote w:type="continuationSeparator" w:id="0">
    <w:p w:rsidR="00BB4E2C" w:rsidRDefault="00BB4E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12D" w:rsidRDefault="0054012D" w:rsidP="001C1F3B">
    <w:pPr>
      <w:pStyle w:val="Kopfzeile"/>
      <w:widowControl/>
      <w:tabs>
        <w:tab w:val="clear" w:pos="1418"/>
        <w:tab w:val="clear" w:pos="1560"/>
        <w:tab w:val="clear" w:pos="9072"/>
        <w:tab w:val="right" w:pos="9639"/>
      </w:tabs>
      <w:spacing w:after="1080"/>
      <w:ind w:right="-2268"/>
    </w:pPr>
    <w:r>
      <w:rPr>
        <w:sz w:val="32"/>
      </w:rPr>
      <w:t xml:space="preserve">Communiqué de presse</w:t>
    </w:r>
    <w:r>
      <w:rPr>
        <w:b/>
        <w:sz w:val="28"/>
      </w:rPr>
      <w:tab/>
    </w:r>
    <w:r>
      <w:drawing>
        <wp:inline distT="0" distB="0" distL="0" distR="0" wp14:anchorId="06A82281" wp14:editId="7B4066D5">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rsidTr="00C74CDC">
      <w:tc>
        <w:tcPr>
          <w:tcW w:w="3402" w:type="dxa"/>
        </w:tcPr>
        <w:p w:rsidR="00C74CDC" w:rsidRDefault="00840F8A" w:rsidP="00913173">
          <w:pPr>
            <w:pStyle w:val="Kopfzeile"/>
            <w:widowControl/>
            <w:tabs>
              <w:tab w:val="clear" w:pos="1418"/>
              <w:tab w:val="clear" w:pos="1560"/>
            </w:tabs>
            <w:spacing w:after="0" w:line="240" w:lineRule="auto"/>
            <w:rPr>
              <w:sz w:val="18"/>
            </w:rPr>
          </w:pPr>
          <w:r>
            <w:rPr>
              <w:sz w:val="18"/>
            </w:rPr>
            <w:t xml:space="preserve">Prolongation de l'offre Edition25</w:t>
          </w:r>
        </w:p>
        <w:p w:rsidR="00C74CDC" w:rsidRDefault="00C74CDC" w:rsidP="00913173">
          <w:pPr>
            <w:pStyle w:val="Kopfzeile"/>
            <w:widowControl/>
            <w:tabs>
              <w:tab w:val="clear" w:pos="1418"/>
              <w:tab w:val="clear" w:pos="1560"/>
            </w:tabs>
            <w:spacing w:after="0"/>
            <w:rPr>
              <w:sz w:val="18"/>
            </w:rPr>
          </w:pPr>
        </w:p>
      </w:tc>
      <w:tc>
        <w:tcPr>
          <w:tcW w:w="2268" w:type="dxa"/>
        </w:tcPr>
        <w:p w:rsidR="00C74CDC" w:rsidRDefault="00C64040" w:rsidP="00913173">
          <w:pPr>
            <w:pStyle w:val="Kopfzeile"/>
            <w:widowControl/>
            <w:tabs>
              <w:tab w:val="clear" w:pos="1418"/>
              <w:tab w:val="clear" w:pos="1560"/>
            </w:tabs>
            <w:spacing w:after="0"/>
            <w:rPr>
              <w:sz w:val="18"/>
            </w:rPr>
          </w:pPr>
          <w:r>
            <w:rPr>
              <w:sz w:val="18"/>
            </w:rPr>
            <w:t xml:space="preserve">Page : </w:t>
          </w:r>
          <w:r w:rsidR="00C74CDC">
            <w:rPr>
              <w:sz w:val="18"/>
            </w:rPr>
            <w:fldChar w:fldCharType="begin"/>
          </w:r>
          <w:r w:rsidR="00C74CDC">
            <w:rPr>
              <w:sz w:val="18"/>
            </w:rPr>
            <w:instrText xml:space="preserve">PAGE </w:instrText>
          </w:r>
          <w:r w:rsidR="00C74CDC">
            <w:rPr>
              <w:sz w:val="18"/>
            </w:rPr>
            <w:fldChar w:fldCharType="separate"/>
          </w:r>
          <w:r w:rsidR="00AC26DA">
            <w:rPr>
              <w:sz w:val="18"/>
            </w:rPr>
            <w:t>3</w:t>
          </w:r>
          <w:r w:rsidR="00C74CDC">
            <w:rPr>
              <w:sz w:val="18"/>
            </w:rPr>
            <w:fldChar w:fldCharType="end"/>
          </w:r>
          <w:r>
            <w:rPr>
              <w:sz w:val="18"/>
            </w:rPr>
            <w:t xml:space="preserve"> / </w:t>
          </w:r>
          <w:r w:rsidR="00C74CDC">
            <w:rPr>
              <w:sz w:val="18"/>
            </w:rPr>
            <w:fldChar w:fldCharType="begin" w:dirty="true"/>
          </w:r>
          <w:r w:rsidR="00C74CDC">
            <w:rPr>
              <w:sz w:val="18"/>
            </w:rPr>
            <w:instrText xml:space="preserve">NUMPAGES </w:instrText>
          </w:r>
          <w:r w:rsidR="00C74CDC">
            <w:rPr>
              <w:sz w:val="18"/>
            </w:rPr>
            <w:fldChar w:fldCharType="separate"/>
          </w:r>
          <w:r w:rsidR="00AC26DA">
            <w:rPr>
              <w:sz w:val="18"/>
            </w:rPr>
            <w:t>3</w:t>
          </w:r>
          <w:r w:rsidR="00C74CDC">
            <w:rPr>
              <w:sz w:val="18"/>
            </w:rPr>
            <w:fldChar w:fldCharType="end"/>
          </w:r>
        </w:p>
      </w:tc>
      <w:tc>
        <w:tcPr>
          <w:tcW w:w="3969" w:type="dxa"/>
        </w:tcPr>
        <w:p w:rsidR="00C74CDC" w:rsidRDefault="00C74CDC" w:rsidP="00E943D7">
          <w:pPr>
            <w:pStyle w:val="Kopfzeile"/>
            <w:widowControl/>
            <w:tabs>
              <w:tab w:val="clear" w:pos="1418"/>
              <w:tab w:val="clear" w:pos="1560"/>
              <w:tab w:val="clear" w:pos="9072"/>
              <w:tab w:val="right" w:pos="1763"/>
            </w:tabs>
            <w:spacing w:after="0"/>
            <w:ind w:right="284"/>
            <w:rPr>
              <w:sz w:val="18"/>
            </w:rPr>
          </w:pPr>
          <w:r>
            <w:rPr>
              <w:sz w:val="18"/>
            </w:rPr>
            <w:tab/>
          </w:r>
          <w:r>
            <w:rPr>
              <w:sz w:val="18"/>
            </w:rPr>
            <w:t xml:space="preserve">Décembre 2018</w:t>
          </w:r>
        </w:p>
      </w:tc>
    </w:tr>
  </w:tbl>
  <w:p w:rsidR="0054012D" w:rsidRPr="00F2656D" w:rsidRDefault="0054012D">
    <w:pPr>
      <w:pStyle w:val="Kopfzeile"/>
      <w:widowControl/>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nsid w:val="31636431"/>
    <w:multiLevelType w:val="hybridMultilevel"/>
    <w:tmpl w:val="EA56982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42DC261F"/>
    <w:multiLevelType w:val="hybridMultilevel"/>
    <w:tmpl w:val="7CC613C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4FC335A7"/>
    <w:multiLevelType w:val="singleLevel"/>
    <w:tmpl w:val="8BEED57C"/>
    <w:lvl w:ilvl="0">
      <w:numFmt w:val="bullet"/>
      <w:lvlText w:val="-"/>
      <w:lvlJc w:val="left"/>
      <w:pPr>
        <w:tabs>
          <w:tab w:val="num" w:pos="360"/>
        </w:tabs>
        <w:ind w:left="360" w:hanging="360"/>
      </w:pPr>
      <w:rPr>
        <w:rFonts w:hint="default"/>
      </w:rPr>
    </w:lvl>
  </w:abstractNum>
  <w:abstractNum w:abstractNumId="25">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6">
    <w:nsid w:val="53C72E94"/>
    <w:multiLevelType w:val="hybridMultilevel"/>
    <w:tmpl w:val="27E868A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8">
    <w:nsid w:val="5AB8215C"/>
    <w:multiLevelType w:val="hybridMultilevel"/>
    <w:tmpl w:val="146239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5C504144"/>
    <w:multiLevelType w:val="hybridMultilevel"/>
    <w:tmpl w:val="6ED20394"/>
    <w:lvl w:ilvl="0" w:tplc="5D4ED5EC">
      <w:numFmt w:val="bullet"/>
      <w:lvlText w:val=""/>
      <w:lvlJc w:val="left"/>
      <w:pPr>
        <w:ind w:left="720" w:hanging="360"/>
      </w:pPr>
      <w:rPr>
        <w:rFonts w:ascii="SymbolMT" w:eastAsia="SymbolMT" w:hAnsi="Arial" w:cs="SymbolMT" w:hint="eastAsi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nsid w:val="66F470AE"/>
    <w:multiLevelType w:val="hybridMultilevel"/>
    <w:tmpl w:val="3EAC9D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8"/>
  </w:num>
  <w:num w:numId="3">
    <w:abstractNumId w:val="13"/>
  </w:num>
  <w:num w:numId="4">
    <w:abstractNumId w:val="8"/>
  </w:num>
  <w:num w:numId="5">
    <w:abstractNumId w:val="27"/>
  </w:num>
  <w:num w:numId="6">
    <w:abstractNumId w:val="16"/>
  </w:num>
  <w:num w:numId="7">
    <w:abstractNumId w:val="17"/>
  </w:num>
  <w:num w:numId="8">
    <w:abstractNumId w:val="21"/>
  </w:num>
  <w:num w:numId="9">
    <w:abstractNumId w:val="22"/>
  </w:num>
  <w:num w:numId="10">
    <w:abstractNumId w:val="30"/>
  </w:num>
  <w:num w:numId="11">
    <w:abstractNumId w:val="25"/>
  </w:num>
  <w:num w:numId="12">
    <w:abstractNumId w:val="4"/>
  </w:num>
  <w:num w:numId="13">
    <w:abstractNumId w:val="18"/>
  </w:num>
  <w:num w:numId="14">
    <w:abstractNumId w:val="6"/>
  </w:num>
  <w:num w:numId="15">
    <w:abstractNumId w:val="5"/>
  </w:num>
  <w:num w:numId="16">
    <w:abstractNumId w:val="7"/>
  </w:num>
  <w:num w:numId="17">
    <w:abstractNumId w:val="31"/>
  </w:num>
  <w:num w:numId="18">
    <w:abstractNumId w:val="14"/>
  </w:num>
  <w:num w:numId="19">
    <w:abstractNumId w:val="32"/>
  </w:num>
  <w:num w:numId="20">
    <w:abstractNumId w:val="24"/>
  </w:num>
  <w:num w:numId="21">
    <w:abstractNumId w:val="36"/>
  </w:num>
  <w:num w:numId="22">
    <w:abstractNumId w:val="3"/>
  </w:num>
  <w:num w:numId="23">
    <w:abstractNumId w:val="9"/>
  </w:num>
  <w:num w:numId="24">
    <w:abstractNumId w:val="11"/>
  </w:num>
  <w:num w:numId="25">
    <w:abstractNumId w:val="37"/>
  </w:num>
  <w:num w:numId="26">
    <w:abstractNumId w:val="12"/>
  </w:num>
  <w:num w:numId="27">
    <w:abstractNumId w:val="23"/>
  </w:num>
  <w:num w:numId="28">
    <w:abstractNumId w:val="2"/>
  </w:num>
  <w:num w:numId="29">
    <w:abstractNumId w:val="19"/>
  </w:num>
  <w:num w:numId="30">
    <w:abstractNumId w:val="1"/>
  </w:num>
  <w:num w:numId="31">
    <w:abstractNumId w:val="39"/>
  </w:num>
  <w:num w:numId="32">
    <w:abstractNumId w:val="33"/>
  </w:num>
  <w:num w:numId="33">
    <w:abstractNumId w:val="35"/>
  </w:num>
  <w:num w:numId="34">
    <w:abstractNumId w:val="10"/>
  </w:num>
  <w:num w:numId="35">
    <w:abstractNumId w:val="34"/>
  </w:num>
  <w:num w:numId="36">
    <w:abstractNumId w:val="15"/>
  </w:num>
  <w:num w:numId="37">
    <w:abstractNumId w:val="20"/>
  </w:num>
  <w:num w:numId="38">
    <w:abstractNumId w:val="28"/>
  </w:num>
  <w:num w:numId="39">
    <w:abstractNumId w:val="26"/>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dirty"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3C0"/>
    <w:rsid w:val="00001DFB"/>
    <w:rsid w:val="0001030D"/>
    <w:rsid w:val="00010C96"/>
    <w:rsid w:val="00024EE9"/>
    <w:rsid w:val="00027E33"/>
    <w:rsid w:val="00036D70"/>
    <w:rsid w:val="000471D4"/>
    <w:rsid w:val="000626D3"/>
    <w:rsid w:val="00064DE4"/>
    <w:rsid w:val="00070D5B"/>
    <w:rsid w:val="00080779"/>
    <w:rsid w:val="00087568"/>
    <w:rsid w:val="000B40DB"/>
    <w:rsid w:val="000D1074"/>
    <w:rsid w:val="000D5284"/>
    <w:rsid w:val="000E13E2"/>
    <w:rsid w:val="000E66EC"/>
    <w:rsid w:val="001009AB"/>
    <w:rsid w:val="00106960"/>
    <w:rsid w:val="001133A3"/>
    <w:rsid w:val="001234BA"/>
    <w:rsid w:val="001346DA"/>
    <w:rsid w:val="001379FB"/>
    <w:rsid w:val="00140B62"/>
    <w:rsid w:val="00144DE4"/>
    <w:rsid w:val="001544C1"/>
    <w:rsid w:val="00171A90"/>
    <w:rsid w:val="00181328"/>
    <w:rsid w:val="00191B7B"/>
    <w:rsid w:val="0019372F"/>
    <w:rsid w:val="00197C90"/>
    <w:rsid w:val="001A6C44"/>
    <w:rsid w:val="001A7968"/>
    <w:rsid w:val="001C1F3B"/>
    <w:rsid w:val="001C3917"/>
    <w:rsid w:val="001D7A81"/>
    <w:rsid w:val="001F5F23"/>
    <w:rsid w:val="001F6AB9"/>
    <w:rsid w:val="00213A46"/>
    <w:rsid w:val="0022697A"/>
    <w:rsid w:val="002560A1"/>
    <w:rsid w:val="00257269"/>
    <w:rsid w:val="00262EF5"/>
    <w:rsid w:val="00272217"/>
    <w:rsid w:val="00274D1F"/>
    <w:rsid w:val="00276C42"/>
    <w:rsid w:val="00295BF9"/>
    <w:rsid w:val="002A19F6"/>
    <w:rsid w:val="002A44B1"/>
    <w:rsid w:val="002A557A"/>
    <w:rsid w:val="003014A3"/>
    <w:rsid w:val="00306F18"/>
    <w:rsid w:val="00321923"/>
    <w:rsid w:val="003220C3"/>
    <w:rsid w:val="00346010"/>
    <w:rsid w:val="003463D1"/>
    <w:rsid w:val="003474A5"/>
    <w:rsid w:val="00351017"/>
    <w:rsid w:val="00367548"/>
    <w:rsid w:val="003804F3"/>
    <w:rsid w:val="003A0D46"/>
    <w:rsid w:val="003A464D"/>
    <w:rsid w:val="003E1736"/>
    <w:rsid w:val="003E3908"/>
    <w:rsid w:val="003F1F11"/>
    <w:rsid w:val="003F732F"/>
    <w:rsid w:val="00401216"/>
    <w:rsid w:val="00415721"/>
    <w:rsid w:val="004401F4"/>
    <w:rsid w:val="004407DC"/>
    <w:rsid w:val="00443069"/>
    <w:rsid w:val="00445EF9"/>
    <w:rsid w:val="004605F6"/>
    <w:rsid w:val="0046535F"/>
    <w:rsid w:val="00481597"/>
    <w:rsid w:val="004817FB"/>
    <w:rsid w:val="004955E2"/>
    <w:rsid w:val="004A2787"/>
    <w:rsid w:val="004A312C"/>
    <w:rsid w:val="004B1435"/>
    <w:rsid w:val="00513A4B"/>
    <w:rsid w:val="00520897"/>
    <w:rsid w:val="00537C82"/>
    <w:rsid w:val="0054012D"/>
    <w:rsid w:val="005475DE"/>
    <w:rsid w:val="00547750"/>
    <w:rsid w:val="00570C27"/>
    <w:rsid w:val="00580635"/>
    <w:rsid w:val="0058077E"/>
    <w:rsid w:val="0058611D"/>
    <w:rsid w:val="0058634F"/>
    <w:rsid w:val="005A384A"/>
    <w:rsid w:val="005A5380"/>
    <w:rsid w:val="005C623C"/>
    <w:rsid w:val="005D59E6"/>
    <w:rsid w:val="005F022F"/>
    <w:rsid w:val="005F3F60"/>
    <w:rsid w:val="006143F9"/>
    <w:rsid w:val="00623204"/>
    <w:rsid w:val="0066716B"/>
    <w:rsid w:val="0067522F"/>
    <w:rsid w:val="00697D14"/>
    <w:rsid w:val="006C15C6"/>
    <w:rsid w:val="006D5941"/>
    <w:rsid w:val="006E1BAA"/>
    <w:rsid w:val="006E3D48"/>
    <w:rsid w:val="006F1125"/>
    <w:rsid w:val="0070039B"/>
    <w:rsid w:val="007143F9"/>
    <w:rsid w:val="00722564"/>
    <w:rsid w:val="00727B8C"/>
    <w:rsid w:val="00735FDB"/>
    <w:rsid w:val="00737128"/>
    <w:rsid w:val="00742CE2"/>
    <w:rsid w:val="0075114F"/>
    <w:rsid w:val="0076147E"/>
    <w:rsid w:val="00772ED8"/>
    <w:rsid w:val="00774ABF"/>
    <w:rsid w:val="00783449"/>
    <w:rsid w:val="0079664A"/>
    <w:rsid w:val="007A4EF3"/>
    <w:rsid w:val="007B0121"/>
    <w:rsid w:val="007F0D37"/>
    <w:rsid w:val="007F727D"/>
    <w:rsid w:val="007F7E9B"/>
    <w:rsid w:val="008030A6"/>
    <w:rsid w:val="008051FD"/>
    <w:rsid w:val="00807C59"/>
    <w:rsid w:val="008250FF"/>
    <w:rsid w:val="00840F8A"/>
    <w:rsid w:val="008461E1"/>
    <w:rsid w:val="008547A0"/>
    <w:rsid w:val="00891766"/>
    <w:rsid w:val="008A5438"/>
    <w:rsid w:val="008B07C0"/>
    <w:rsid w:val="008C0447"/>
    <w:rsid w:val="009051A1"/>
    <w:rsid w:val="00906FF6"/>
    <w:rsid w:val="009178FE"/>
    <w:rsid w:val="00920D02"/>
    <w:rsid w:val="0093011B"/>
    <w:rsid w:val="009368F5"/>
    <w:rsid w:val="00944CAE"/>
    <w:rsid w:val="009479AC"/>
    <w:rsid w:val="0097733B"/>
    <w:rsid w:val="009A1B07"/>
    <w:rsid w:val="009A4FA6"/>
    <w:rsid w:val="009C58AA"/>
    <w:rsid w:val="009C73C6"/>
    <w:rsid w:val="009E15B5"/>
    <w:rsid w:val="009E1B64"/>
    <w:rsid w:val="009F50FD"/>
    <w:rsid w:val="00A04D46"/>
    <w:rsid w:val="00A13CD6"/>
    <w:rsid w:val="00A15C08"/>
    <w:rsid w:val="00A16171"/>
    <w:rsid w:val="00A24BCC"/>
    <w:rsid w:val="00A5108C"/>
    <w:rsid w:val="00A7235B"/>
    <w:rsid w:val="00A73AAF"/>
    <w:rsid w:val="00A9766B"/>
    <w:rsid w:val="00A97733"/>
    <w:rsid w:val="00AA3FF1"/>
    <w:rsid w:val="00AB73AA"/>
    <w:rsid w:val="00AC0A7D"/>
    <w:rsid w:val="00AC26DA"/>
    <w:rsid w:val="00AC3B97"/>
    <w:rsid w:val="00AD6878"/>
    <w:rsid w:val="00AD69E4"/>
    <w:rsid w:val="00AD7894"/>
    <w:rsid w:val="00AE3F08"/>
    <w:rsid w:val="00AF25EE"/>
    <w:rsid w:val="00AF3D8F"/>
    <w:rsid w:val="00B0470F"/>
    <w:rsid w:val="00B10596"/>
    <w:rsid w:val="00B16A61"/>
    <w:rsid w:val="00B30F66"/>
    <w:rsid w:val="00B42D2F"/>
    <w:rsid w:val="00B431A0"/>
    <w:rsid w:val="00B47E74"/>
    <w:rsid w:val="00B541B8"/>
    <w:rsid w:val="00B57FAC"/>
    <w:rsid w:val="00B74DE5"/>
    <w:rsid w:val="00B8324A"/>
    <w:rsid w:val="00BA3C3F"/>
    <w:rsid w:val="00BB4E2C"/>
    <w:rsid w:val="00BC229D"/>
    <w:rsid w:val="00BF1F0F"/>
    <w:rsid w:val="00BF3599"/>
    <w:rsid w:val="00BF46E5"/>
    <w:rsid w:val="00BF5A37"/>
    <w:rsid w:val="00C10053"/>
    <w:rsid w:val="00C17557"/>
    <w:rsid w:val="00C45AD8"/>
    <w:rsid w:val="00C51E9E"/>
    <w:rsid w:val="00C60AA7"/>
    <w:rsid w:val="00C61C2E"/>
    <w:rsid w:val="00C61E6B"/>
    <w:rsid w:val="00C64040"/>
    <w:rsid w:val="00C65530"/>
    <w:rsid w:val="00C74CDC"/>
    <w:rsid w:val="00C75D10"/>
    <w:rsid w:val="00C96136"/>
    <w:rsid w:val="00CA00A9"/>
    <w:rsid w:val="00CB1588"/>
    <w:rsid w:val="00CD1E96"/>
    <w:rsid w:val="00CF622D"/>
    <w:rsid w:val="00D0150A"/>
    <w:rsid w:val="00D043C0"/>
    <w:rsid w:val="00D05F12"/>
    <w:rsid w:val="00D071E6"/>
    <w:rsid w:val="00D113BA"/>
    <w:rsid w:val="00D322E6"/>
    <w:rsid w:val="00D40674"/>
    <w:rsid w:val="00D50588"/>
    <w:rsid w:val="00D51167"/>
    <w:rsid w:val="00D65A21"/>
    <w:rsid w:val="00D70851"/>
    <w:rsid w:val="00D72330"/>
    <w:rsid w:val="00D743CB"/>
    <w:rsid w:val="00D915A1"/>
    <w:rsid w:val="00DA3508"/>
    <w:rsid w:val="00DA7ADD"/>
    <w:rsid w:val="00DD063D"/>
    <w:rsid w:val="00DE114A"/>
    <w:rsid w:val="00DF2A9D"/>
    <w:rsid w:val="00E16955"/>
    <w:rsid w:val="00E24340"/>
    <w:rsid w:val="00E36539"/>
    <w:rsid w:val="00E471E2"/>
    <w:rsid w:val="00E4780C"/>
    <w:rsid w:val="00E54363"/>
    <w:rsid w:val="00E7070B"/>
    <w:rsid w:val="00E93B4F"/>
    <w:rsid w:val="00E943D7"/>
    <w:rsid w:val="00EA3D1C"/>
    <w:rsid w:val="00EA6393"/>
    <w:rsid w:val="00EE5B89"/>
    <w:rsid w:val="00F05208"/>
    <w:rsid w:val="00F06CA2"/>
    <w:rsid w:val="00F12542"/>
    <w:rsid w:val="00F23A94"/>
    <w:rsid w:val="00F2656D"/>
    <w:rsid w:val="00F26FBF"/>
    <w:rsid w:val="00F314D7"/>
    <w:rsid w:val="00F37EDF"/>
    <w:rsid w:val="00F73A4F"/>
    <w:rsid w:val="00F8560C"/>
    <w:rsid w:val="00F8653F"/>
    <w:rsid w:val="00FA23C1"/>
    <w:rsid w:val="00FB6D7C"/>
    <w:rsid w:val="00FC3C73"/>
    <w:rsid w:val="00FD53A5"/>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C45AD8"/>
    <w:pPr>
      <w:spacing w:after="360"/>
      <w:outlineLvl w:val="0"/>
    </w:pPr>
    <w:rPr>
      <w:b/>
      <w:color w:val="00A0DC" w:themeColor="accent1"/>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character" w:styleId="Hyperlink">
    <w:name w:val="Hyperlink"/>
    <w:basedOn w:val="Absatz-Standardschriftart"/>
    <w:uiPriority w:val="99"/>
    <w:unhideWhenUsed/>
    <w:rsid w:val="00AF25EE"/>
    <w:rPr>
      <w:color w:val="FFFFFF" w:themeColor="hyperlink"/>
      <w:u w:val="single"/>
    </w:rPr>
  </w:style>
  <w:style w:type="paragraph" w:styleId="Listenabsatz">
    <w:name w:val="List Paragraph"/>
    <w:basedOn w:val="Standard"/>
    <w:uiPriority w:val="34"/>
    <w:qFormat/>
    <w:rsid w:val="004955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C45AD8"/>
    <w:pPr>
      <w:spacing w:after="360"/>
      <w:outlineLvl w:val="0"/>
    </w:pPr>
    <w:rPr>
      <w:b/>
      <w:color w:val="00A0DC" w:themeColor="accent1"/>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character" w:styleId="Hyperlink">
    <w:name w:val="Hyperlink"/>
    <w:basedOn w:val="Absatz-Standardschriftart"/>
    <w:uiPriority w:val="99"/>
    <w:unhideWhenUsed/>
    <w:rsid w:val="00AF25EE"/>
    <w:rPr>
      <w:color w:val="FFFFFF" w:themeColor="hyperlink"/>
      <w:u w:val="single"/>
    </w:rPr>
  </w:style>
  <w:style w:type="paragraph" w:styleId="Listenabsatz">
    <w:name w:val="List Paragraph"/>
    <w:basedOn w:val="Standard"/>
    <w:uiPriority w:val="34"/>
    <w:qFormat/>
    <w:rsid w:val="004955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994477">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204374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&#65279;<?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homag.com/edition25"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NEW">
      <a:dk1>
        <a:sysClr val="windowText" lastClr="000000"/>
      </a:dk1>
      <a:lt1>
        <a:srgbClr val="FFFFFF"/>
      </a:lt1>
      <a:dk2>
        <a:srgbClr val="001941"/>
      </a:dk2>
      <a:lt2>
        <a:srgbClr val="FFFFFF"/>
      </a:lt2>
      <a:accent1>
        <a:srgbClr val="00A0DC"/>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16340F-0700-4139-B85E-033F4367062A}">
  <ds:schemaRefs>
    <ds:schemaRef ds:uri="http://purl.org/dc/terms/"/>
    <ds:schemaRef ds:uri="http://purl.org/dc/dcmitype/"/>
    <ds:schemaRef ds:uri="http://schemas.microsoft.com/office/2006/metadata/properties"/>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410</Words>
  <Characters>2777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3181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Julia Weber</cp:lastModifiedBy>
  <cp:revision>12</cp:revision>
  <cp:lastPrinted>2018-02-22T10:43:00Z</cp:lastPrinted>
  <dcterms:created xsi:type="dcterms:W3CDTF">2018-08-01T11:54:00Z</dcterms:created>
  <dcterms:modified xsi:type="dcterms:W3CDTF">2018-12-18T14:16:00Z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