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PERÍODO DA CAMPANHA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PRORROGADO!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ATÉ 31/05/2019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PERÍODO DA CAMPANHA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PRORROGADO!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ATÉ 31/05/2019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Campanha prorrogada até 31/05/2019!</w:t>
      </w:r>
    </w:p>
    <w:p w:rsidR="00BF3599" w:rsidRDefault="00BF3599" w:rsidP="00BF3599">
      <w:pPr>
        <w:pStyle w:val="berschrift1"/>
      </w:pPr>
      <w:r>
        <w:t xml:space="preserve">EDITION 25 – Mais futuro, mais tecnologia, </w:t>
        <w:br/>
        <w:t xml:space="preserve">assistência técnica completa também em 2019</w:t>
      </w:r>
    </w:p>
    <w:p w:rsidR="00BF3599" w:rsidRPr="00BF3599" w:rsidRDefault="00BF3599" w:rsidP="00BF3599">
      <w:pPr>
        <w:rPr>
          <w:b/>
        </w:rPr>
      </w:pPr>
      <w:r>
        <w:rPr>
          <w:b/>
        </w:rPr>
        <w:t xml:space="preserve">Devido à grande procura, a HOMAG prorrogou a campanha até o fim de maio de 2019. O portfólio das máquinas da Edition25 permanece o mesmo: soluções de automação, seccionadoras de placas, máquinas para processamento CNC, de bordas e de superfícies, seccionadoras e, naturalmente, os respectivos softwares.</w:t>
      </w:r>
      <w:r>
        <w:rPr>
          <w:b/>
        </w:rPr>
        <w:t xml:space="preserve"> </w:t>
      </w:r>
    </w:p>
    <w:p w:rsidR="00AF25EE" w:rsidRDefault="008A5438" w:rsidP="00AF25EE">
      <w:r>
        <w:t xml:space="preserve">A HOMAG teve todos os motivos para comemorar este ano: no 25º HOMAG Treff, a HOMAG agradeceu os clientes e interessados em todo o mundo com um portfólio de mais de 25 máquinas, que impressionam pelos seus preços, equipamentos e serviços. A HOMAG projetou os modelos da campanha totalmente de acordo com as necessidades atuais dos clientes – com mais digitalização, mais desempenho, mais serviços e produtos digitais para dar início a uma produção ainda mais moderna de forma descomplicada. Outra vantagem: muitos produtos podem ser fabricados e fornecidos a curto prazo – e o usuário pode começar a utilizar a nova máquina na sua produção rapidamente. Todos os modelos contam com um nível de desempenho mais elevado, preços vantajosos e pacotes atraentes de digitalização e serviços, quando comparados com a solução padrão do tipo da máquina. Em termos concretos, isto significa:</w:t>
      </w:r>
    </w:p>
    <w:p w:rsidR="00FD53A5" w:rsidRDefault="00FD53A5" w:rsidP="00AF25EE"/>
    <w:p w:rsidR="00580635" w:rsidRDefault="0075114F" w:rsidP="00580635">
      <w:r>
        <w:rPr>
          <w:b/>
        </w:rPr>
        <w:t xml:space="preserve">Mais digitalização:</w:t>
      </w:r>
      <w:r>
        <w:t xml:space="preserve"> todos os modelos da Edition25 são totalmente digitalizados e prontos para conexão com a tapio. Todos os modelos já vêm com apps úteis incluídos: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“MachineBoard”*: dados e status da máquina em tempo real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“ServiceBoard”</w:t>
      </w:r>
      <w:r>
        <w:rPr>
          <w:b/>
          <w:bCs/>
          <w:rFonts w:ascii="Arial-BoldMT" w:hAnsi="Arial-BoldMT" w:cs="Arial-BoldMT"/>
        </w:rPr>
        <w:t xml:space="preserve">*</w:t>
      </w:r>
      <w:r>
        <w:t xml:space="preserve">: vídeo diagnóstico sem fio em tempo real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“DataSave”*: backup automático dos dados da máquina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MMR professional: monitoramento para otimização da produção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*Atualmente disponível na UE e na Suíça.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(Devido ao ritmo acelerado do cenário de TI, garantimos a compatibilidade com a plataforma tapio por 5 anos)</w:t>
      </w:r>
    </w:p>
    <w:p w:rsidR="00783449" w:rsidRPr="00C51E9E" w:rsidRDefault="00783449" w:rsidP="00580635">
      <w:r>
        <w:t xml:space="preserve">Assim, o usuário utiliza a capacidade de processamento quase ilimitada das soluções de software baseadas em nuvem para aumentar a disponibilidade da máquina.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 xml:space="preserve">Mais desempenho:</w:t>
      </w:r>
      <w:r>
        <w:t xml:space="preserve"> todos os modelos da Edition25 contam com um nível de desempenho mais elevado a um preço atraente e incluem opcionais abrangentes. Assim, o usuário produz em um nível superior com o seu investimento.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Mais assistência técnica: </w:t>
      </w:r>
      <w:r>
        <w:t xml:space="preserve">todos os modelos da Edition25 recebem uma extensão da garantia de 12 para 24 meses, além das vantagens adicionais do pacote Warranty Plus 24 Service.</w:t>
        <w:br/>
        <w:t xml:space="preserve">Este inclui os seguintes serviços: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Serviço remoto até as 18h (CET)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Peças de reposição (exceto peças de desgaste)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Serviços no local, incluindo despesas de viagem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Uma inspeção, incluindo despesas de viagem</w:t>
      </w:r>
    </w:p>
    <w:p w:rsidR="004955E2" w:rsidRPr="004955E2" w:rsidRDefault="00FD53A5" w:rsidP="004955E2">
      <w:r>
        <w:t xml:space="preserve">Para o usuário, isto significa a extensão da garantia para 24 meses. Desta forma, ele ganha um ano a mais de garantia total em caso de necessidade de assistência técnica.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color w:val="00A0DC" w:themeColor="accent1"/>
          <w:b/>
        </w:rPr>
        <w:t xml:space="preserve">Que máquinas fazem parte do programa da Edition25?</w:t>
      </w:r>
      <w:r>
        <w:rPr>
          <w:color w:val="00A0DC" w:themeColor="accent1"/>
        </w:rPr>
        <w:t xml:space="preserve"> </w:t>
      </w:r>
      <w:r>
        <w:t xml:space="preserve">A HOMAG disponibilizou esta e todas as outras informações no seguinte website:</w:t>
      </w:r>
      <w:r>
        <w:rPr>
          <w:b/>
          <w:bCs/>
          <w:color w:val="auto"/>
          <w:sz w:val="20"/>
          <w:rFonts w:ascii="Arial-BoldMT" w:hAnsi="Arial-BoldMT" w:cs="Arial-BoldMT"/>
        </w:rPr>
        <w:t xml:space="preserve"> </w:t>
      </w:r>
      <w:hyperlink r:id="rId11" w:history="1">
        <w:r>
          <w:rPr>
            <w:rStyle w:val="Hyperlink"/>
            <w:color w:val="auto"/>
          </w:rPr>
          <w:t xml:space="preserve"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t xml:space="preserve">Figuras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Fonte do material fotográfico: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 xml:space="preserve">Com os modelos da Edition25, os clientes da HOMAG asseguram inúmeras vantagens até o dia 31 de maio de 2019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Em caso de dúvidas, entre em contato com: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:rsidR="00F2656D" w:rsidRPr="008547A0" w:rsidRDefault="00F2656D" w:rsidP="008547A0">
      <w:pPr>
        <w:pStyle w:val="Untertitel"/>
      </w:pPr>
      <w:r>
        <w:t xml:space="preserve">Homagstraße 3–5</w:t>
      </w:r>
    </w:p>
    <w:p w:rsidR="00F2656D" w:rsidRPr="008547A0" w:rsidRDefault="00F2656D" w:rsidP="008547A0">
      <w:pPr>
        <w:pStyle w:val="Untertitel"/>
      </w:pPr>
      <w:r>
        <w:t xml:space="preserve">72296 Schopfloch</w:t>
      </w:r>
    </w:p>
    <w:p w:rsidR="00F2656D" w:rsidRPr="008547A0" w:rsidRDefault="00F2656D" w:rsidP="008547A0">
      <w:pPr>
        <w:pStyle w:val="Untertitel"/>
      </w:pPr>
      <w:r>
        <w:t xml:space="preserve">Alemanha</w:t>
      </w:r>
    </w:p>
    <w:p w:rsidR="00F2656D" w:rsidRPr="008547A0" w:rsidRDefault="00F2656D" w:rsidP="008547A0">
      <w:pPr>
        <w:pStyle w:val="Untertitel"/>
      </w:pPr>
      <w:r>
        <w:t xml:space="preserve"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 xml:space="preserve">Sra. Julia Weber</w:t>
      </w:r>
    </w:p>
    <w:p w:rsidR="00F12542" w:rsidRPr="00D743CB" w:rsidRDefault="00F12542" w:rsidP="008547A0">
      <w:pPr>
        <w:pStyle w:val="Untertitel"/>
      </w:pPr>
      <w:r>
        <w:t xml:space="preserve">Customer Communication Manager</w:t>
      </w:r>
    </w:p>
    <w:p w:rsidR="00F12542" w:rsidRPr="00D743CB" w:rsidRDefault="00F12542" w:rsidP="008547A0">
      <w:pPr>
        <w:pStyle w:val="Untertitel"/>
      </w:pPr>
      <w:r>
        <w:t xml:space="preserve">Tel.</w:t>
        <w:tab/>
        <w:t xml:space="preserve">+49 7443 13-2588</w:t>
      </w:r>
    </w:p>
    <w:p w:rsidR="00F12542" w:rsidRPr="00D743CB" w:rsidRDefault="00F12542" w:rsidP="008547A0">
      <w:pPr>
        <w:pStyle w:val="Untertitel"/>
      </w:pPr>
      <w:r>
        <w:t xml:space="preserve">Fax</w:t>
        <w:tab/>
        <w:t xml:space="preserve">+49 7443 13-8-2588</w:t>
      </w:r>
    </w:p>
    <w:p w:rsidR="00481597" w:rsidRPr="008547A0" w:rsidRDefault="00F12542" w:rsidP="008547A0">
      <w:pPr>
        <w:pStyle w:val="Untertitel"/>
      </w:pPr>
      <w:r>
        <w:t xml:space="preserve"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Comunicado de imprensa</w:t>
    </w:r>
    <w:r>
      <w:rPr>
        <w:b/>
        <w:sz w:val="28"/>
      </w:rPr>
      <w:tab/>
    </w:r>
    <w: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Prorrogação da campanha Edition25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 xml:space="preserve">Página</w:t>
          </w:r>
          <w:r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Dezembro de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t-B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